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PingFang SC" w:hAnsi="PingFang SC" w:eastAsia="PingFang SC"/>
          <w:b/>
          <w:color w:val="17365D"/>
          <w:sz w:val="44"/>
        </w:rPr>
        <w:t>三天线下课程</w:t>
        <w:br/>
        <w:t>多智能体复盘与开课前整改报告</w:t>
      </w:r>
    </w:p>
    <w:p>
      <w:r>
        <w:rPr>
          <w:rFonts w:ascii="PingFang SC" w:hAnsi="PingFang SC" w:eastAsia="PingFang SC"/>
          <w:b w:val="0"/>
          <w:sz w:val="21"/>
        </w:rPr>
        <w:t>复盘角色：培训课件智能体、执行反馈督导智能体、法务智能体、甲方老板视角智能体、总指挥智能体。</w:t>
      </w:r>
    </w:p>
    <w:p>
      <w:r>
        <w:rPr>
          <w:rFonts w:ascii="PingFang SC" w:hAnsi="PingFang SC" w:eastAsia="PingFang SC"/>
          <w:b w:val="0"/>
          <w:sz w:val="21"/>
        </w:rPr>
        <w:t>总评：V1 的价值观与风险意识基本正确，但仍是一份课程大纲，不是可直接开营的执行方案。最大问题是经营技能训练不足、第三天下午拥堵、成果表缺少追踪、教学与成交未物理隔离、签约原则没有变成系统闸门。</w:t>
      </w:r>
    </w:p>
    <w:p>
      <w:pPr>
        <w:pStyle w:val="Heading1"/>
      </w:pPr>
      <w:r>
        <w:t>一、智能体共识结论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课程主线要从“盘点-算账-匹配”升级为“需求-经营闭环-验证与决策”。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三天毕业标准应是完成可验证的经营成果，而不是听完或购买后端项目。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后端项目答疑必须在全员课程结业后独立、自愿开展。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正式开课前必须补逐时运行、岗位、资料、设备、应急和签约放行文件。</w:t>
      </w:r>
    </w:p>
    <w:p>
      <w:pPr>
        <w:pStyle w:val="Heading1"/>
      </w:pPr>
      <w:r>
        <w:t>二、P0级问题：未解决不得开课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问题</w:t>
            </w:r>
          </w:p>
        </w:tc>
        <w:tc>
          <w:tcPr>
            <w:tcW w:type="dxa" w:w="4706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风险与整改</w:t>
            </w:r>
          </w:p>
        </w:tc>
      </w:tr>
      <w:tr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没有逐小时课表</w:t>
            </w:r>
          </w:p>
        </w:tc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现有模块实际可能需要8.5-10小时；必须冻结分钟表和主持人截断机制。</w:t>
            </w:r>
          </w:p>
        </w:tc>
      </w:tr>
      <w:tr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第三天下午严重拥堵</w:t>
            </w:r>
          </w:p>
        </w:tc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50人每人10分钟即需500分钟顾问工时；结营前不可能同时完成复核、说明、签约和收款。</w:t>
            </w:r>
          </w:p>
        </w:tc>
      </w:tr>
      <w:tr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六项成果缺少追踪</w:t>
            </w:r>
          </w:p>
        </w:tc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须有唯一学员编号、版本、桌号、完成状态、每日纸电双校验和资料管理员。</w:t>
            </w:r>
          </w:p>
        </w:tc>
      </w:tr>
      <w:tr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关键岗位缺失</w:t>
            </w:r>
          </w:p>
        </w:tc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增加总控、签到资料、技术、流动助教、计时、应急和授权管理；总控不得兼顾问财务。</w:t>
            </w:r>
          </w:p>
        </w:tc>
      </w:tr>
      <w:tr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设备网络无降级方案</w:t>
            </w:r>
          </w:p>
        </w:tc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准备双网络、离线录屏、脱敏素材、纸质演练；账号实名或付款不得作为课堂必做。</w:t>
            </w:r>
          </w:p>
        </w:tc>
      </w:tr>
      <w:tr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教学和签约未物理隔离</w:t>
            </w:r>
          </w:p>
        </w:tc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课程结束后另场咨询；财务只接收全绿Gate学员并双人复核。</w:t>
            </w:r>
          </w:p>
        </w:tc>
      </w:tr>
      <w:tr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缺少突发事件SOP</w:t>
            </w:r>
          </w:p>
        </w:tc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覆盖断网停电、讲师缺席、身体不适、隐私泄露、退款争议和共同决策反对。</w:t>
            </w:r>
          </w:p>
        </w:tc>
      </w:tr>
    </w:tbl>
    <w:p>
      <w:pPr>
        <w:pStyle w:val="Heading1"/>
      </w:pPr>
      <w:r>
        <w:t>三、教学质量整改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开课前按零基础、已有业务、资源合作分组。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增加客户需求、一页创业假设、最小经营包、咨询角色演练、交付复购和7天验证。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讲授35%、示范15%、练习35%、点评15%；单次讲授不超过30分钟。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成果验收设通过、返工、未完成；缺两项者不出适配结论。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用中性贯穿案例替代临场平台招商案例，提前7天冻结。</w:t>
      </w:r>
    </w:p>
    <w:p>
      <w:pPr>
        <w:pStyle w:val="Heading1"/>
      </w:pPr>
      <w:r>
        <w:t>四、现场运行建议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4706"/>
            <w:vAlign w:val="center"/>
            <w:shd w:fill="17365D"/>
          </w:tcPr>
          <w:p>
            <w:r/>
            <w:r>
              <w:rPr>
                <w:rFonts w:ascii="PingFang SC" w:hAnsi="PingFang SC" w:eastAsia="PingFang SC"/>
                <w:b/>
                <w:color w:val="FFFFFF"/>
                <w:sz w:val="18"/>
              </w:rPr>
              <w:t>硬指标</w:t>
            </w:r>
          </w:p>
        </w:tc>
      </w:tr>
      <w:tr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人员</w:t>
            </w:r>
          </w:p>
        </w:tc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桌长不超过1:8；30人至少4名，50人至少7名；顾问3-5名。</w:t>
            </w:r>
          </w:p>
        </w:tc>
      </w:tr>
      <w:tr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资料</w:t>
            </w:r>
          </w:p>
        </w:tc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唯一编号覆盖100%；资料遗失和敏感信息公开均为0。</w:t>
            </w:r>
          </w:p>
        </w:tc>
      </w:tr>
      <w:tr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教学</w:t>
            </w:r>
          </w:p>
        </w:tc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第一天成果完整率&gt;=95%；第二、三天核心成果提交率&gt;=90%。</w:t>
            </w:r>
          </w:p>
        </w:tc>
      </w:tr>
      <w:tr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时间</w:t>
            </w:r>
          </w:p>
        </w:tc>
        <w:tc>
          <w:tcPr>
            <w:tcW w:type="dxa" w:w="4706"/>
            <w:vAlign w:val="center"/>
            <w:shd w:fill="F4F6F7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课程累计超时&lt;=20分钟/天；断网后5分钟内切换离线方案。</w:t>
            </w:r>
          </w:p>
        </w:tc>
      </w:tr>
      <w:tr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成交</w:t>
            </w:r>
          </w:p>
        </w:tc>
        <w:tc>
          <w:tcPr>
            <w:tcW w:type="dxa" w:w="4706"/>
            <w:vAlign w:val="center"/>
          </w:tcPr>
          <w:p>
            <w:r/>
            <w:r>
              <w:rPr>
                <w:rFonts w:ascii="PingFang SC" w:hAnsi="PingFang SC" w:eastAsia="PingFang SC"/>
                <w:b w:val="0"/>
                <w:sz w:val="18"/>
              </w:rPr>
              <w:t>教学时段报价收款=0；无适配报告签约=0；借贷劝诱=0；口头新增权益=0。</w:t>
            </w:r>
          </w:p>
        </w:tc>
      </w:tr>
    </w:tbl>
    <w:p>
      <w:pPr>
        <w:pStyle w:val="Heading1"/>
      </w:pPr>
      <w:r>
        <w:t>五、成交与合规红线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产品、价格、权益、交付、合同、退款、主体任一未冻结或版本不一致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以作业或适配诊断为销售施压工具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保收益、保回本、保订单、保区域、随时可退等口头承诺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绕过共同决策人或企业授权代表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鼓励借贷、刷卡、套现或超承受能力付款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合同、收款、开票主体不一致且无书面说明，或向个人账户付款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以订金、意向金、锁位金绕过项目未冻结状态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不购买后端项目就减少课程资料、验收或课后支持</w:t>
      </w:r>
    </w:p>
    <w:p>
      <w:pPr>
        <w:pStyle w:val="ListBullet"/>
        <w:ind w:left="369"/>
      </w:pPr>
      <w:r>
        <w:rPr>
          <w:rFonts w:ascii="PingFang SC" w:hAnsi="PingFang SC" w:eastAsia="PingFang SC"/>
          <w:b w:val="0"/>
          <w:sz w:val="21"/>
        </w:rPr>
        <w:t>未获单独授权就把资金、家庭和风险信息交给销售</w:t>
      </w:r>
    </w:p>
    <w:p>
      <w:pPr>
        <w:pStyle w:val="Heading1"/>
      </w:pPr>
      <w:r>
        <w:t>六、开课放行结论</w:t>
      </w:r>
    </w:p>
    <w:p>
      <w:r>
        <w:rPr>
          <w:rFonts w:ascii="PingFang SC" w:hAnsi="PingFang SC" w:eastAsia="PingFang SC"/>
          <w:b w:val="0"/>
          <w:sz w:val="21"/>
        </w:rPr>
        <w:t>当前结论：V2 可以继续用于内部课程研发，但在七份运行控制文件、课程正式退改、后端项目冻结资料和签约全绿Gate完成前，不建议对外标注“正式执行版”，不建议据此现场收款。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191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PingFang SC" w:hAnsi="PingFang SC" w:eastAsia="PingFang SC"/>
        <w:b w:val="0"/>
        <w:color w:val="666666"/>
        <w:sz w:val="16"/>
      </w:rPr>
      <w:t xml:space="preserve">第 </w:t>
      <w:fldChar w:fldCharType="begin"/>
      <w:instrText>PAGE</w:instrText>
      <w:fldChar w:fldCharType="end"/>
    </w:r>
    <w:r>
      <w:rPr>
        <w:rFonts w:ascii="PingFang SC" w:hAnsi="PingFang SC" w:eastAsia="PingFang SC"/>
        <w:b w:val="0"/>
        <w:color w:val="666666"/>
        <w:sz w:val="16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PingFang SC" w:hAnsi="PingFang SC" w:eastAsia="PingFang SC"/>
        <w:b w:val="0"/>
        <w:color w:val="666666"/>
        <w:sz w:val="17"/>
      </w:rPr>
      <w:t>徐州创业粉｜内部课程研发资料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24" w:lineRule="auto" w:after="100"/>
    </w:pPr>
    <w:rPr>
      <w:rFonts w:ascii="PingFang SC" w:hAnsi="PingFang SC" w:eastAsia="PingFang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17365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2F559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2F5597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17365D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三天线下课程多智能体复盘与开课前整改报告</dc:title>
  <dc:subject/>
  <dc:creator>老谭出品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