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445D8"/>
          <w:sz w:val="22"/>
        </w:rPr>
        <w:t>亿晟出品 · 徐州创业粉</w:t>
      </w:r>
    </w:p>
    <w:p>
      <w:pPr>
        <w:pStyle w:val="Title"/>
        <w:jc w:val="center"/>
      </w:pPr>
      <w:r>
        <w:t>徐州创业粉现行版本清单</w:t>
      </w:r>
    </w:p>
    <w:p>
      <w:pPr>
        <w:jc w:val="center"/>
      </w:pPr>
      <w:r>
        <w:rPr>
          <w:color w:val="667085"/>
          <w:sz w:val="19"/>
        </w:rPr>
        <w:t>现行内部版本：H-VERSION-V1.0  |  更新：2026-07-19</w:t>
      </w:r>
    </w:p>
    <w:p>
      <w:pPr>
        <w:spacing w:before="240" w:after="240"/>
        <w:jc w:val="center"/>
        <w:shd w:fill="FFF0F1"/>
      </w:pPr>
      <w:r>
        <w:rPr>
          <w:b/>
          <w:sz w:val="19"/>
        </w:rPr>
        <w:t>内部学习与执行资料。产品价格、权益、合同、案例数字和活动名额，必须以当场批准主卡为准。</w:t>
      </w:r>
    </w:p>
    <w:p>
      <w:pPr>
        <w:pStyle w:val="Heading1"/>
      </w:pPr>
      <w:r>
        <w:t>先看状态，再下载；没有现行编号，不执行</w:t>
      </w:r>
    </w:p>
    <w:p>
      <w:r>
        <w:t>本页是团队判断“今天能用什么”的唯一入口。流程手册可以现行，产品价格、权益、合同、案例和活动仍可能待审，两者不得混为一谈。</w:t>
      </w:r>
    </w:p>
    <w:p>
      <w:pPr>
        <w:pStyle w:val="Heading2"/>
      </w:pPr>
      <w:r>
        <w:t>可按流程执行</w:t>
      </w:r>
    </w:p>
    <w:p>
      <w:r>
        <w:t>已批准的岗位SOP、记录表、交接和红线。涉及场次数字仍需主卡。</w:t>
      </w:r>
    </w:p>
    <w:p>
      <w:pPr>
        <w:pStyle w:val="Heading2"/>
      </w:pPr>
      <w:r>
        <w:t>只用于学习演练</w:t>
      </w:r>
    </w:p>
    <w:p>
      <w:r>
        <w:t>结构和方法可学，不得直接对客、报价、发布或收款。</w:t>
      </w:r>
    </w:p>
    <w:p>
      <w:pPr>
        <w:pStyle w:val="Heading2"/>
      </w:pPr>
      <w:r>
        <w:t>必须人工确认</w:t>
      </w:r>
    </w:p>
    <w:p>
      <w:r>
        <w:t>价格、权益、合同、主体、案例、证据和活动名额。</w:t>
      </w:r>
    </w:p>
    <w:p>
      <w:pPr>
        <w:ind w:left="170" w:right="170"/>
        <w:shd w:fill="FFF0F1"/>
      </w:pPr>
      <w:r>
        <w:rPr>
          <w:b/>
          <w:sz w:val="19"/>
        </w:rPr>
        <w:t>历史/作废</w:t>
      </w:r>
    </w:p>
    <w:p>
      <w:pPr>
        <w:pStyle w:val="Heading2"/>
      </w:pPr>
      <w:r>
        <w:t>禁止复制执行</w:t>
      </w:r>
    </w:p>
    <w:p>
      <w:r>
        <w:t>只供复盘。发现引用旧版本，立即停止并更正。</w:t>
      </w:r>
    </w:p>
    <w:p>
      <w:pPr>
        <w:pStyle w:val="Heading1"/>
      </w:pPr>
      <w:r>
        <w:t>现行岗位手册</w:t>
      </w:r>
    </w:p>
    <w:p>
      <w:r>
        <w:t>生效日：2026-07-19｜版本：V1.0｜负责人：项目运营负责人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编号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资料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状态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可执行范围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仍需审批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H-A00-V1.0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全链路交接总控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ID、标签、任务锁、交接、N6、归因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恢复N6、数据删除、重大客诉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H-A01-V1.0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公域直播工作手册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训练+流程现行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四岗位协同、急停、复盘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场次价权、上架、证据、敏感问答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H-A02-V1.0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抖音私信工作手册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分类、首答、许可、交接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投诉退款、敏感用户、外链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H-A03-V1.0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电话沟通工作手册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首通、深聊、未接、质检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录音、报价、投诉、资金风险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H-A04-V1.0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微信沟通工作手册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三连发、资料路由、D0-D7、N6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案例、价格、合同、活动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H-A05-V1.0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朋友圈内容工作手册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七类内容、14天排期、四审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每条发布、数字、案例、名额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H-A06-V1.0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微信社群工作手册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群规、14天、答疑、退出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拉群、案例、争议、收款信息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H-A07-V1.0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私域直播工作手册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框架现行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预热、90分钟、岗位、T+3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场次版本、价权、证据、录制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H-A08-V1.0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线下一对一工作手册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六项诊断、三结论、全绿Gate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适配、报价、合同、签约收款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H-A09-V1.0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线下一对多工作手册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框架现行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岗位、逐分钟、成果、应急、分流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开课七闸门、项目、价权、合同</w:t>
            </w:r>
          </w:p>
        </w:tc>
      </w:tr>
    </w:tbl>
    <w:p/>
    <w:p>
      <w:pPr>
        <w:pStyle w:val="Heading1"/>
      </w:pPr>
      <w:r>
        <w:t>明确禁止直接执行的资料</w:t>
      </w:r>
    </w:p>
    <w:p>
      <w:pPr>
        <w:ind w:left="170" w:right="170"/>
        <w:shd w:fill="FFF0F1"/>
      </w:pPr>
      <w:r>
        <w:rPr>
          <w:b/>
          <w:sz w:val="19"/>
        </w:rPr>
        <w:t>历史</w:t>
      </w:r>
    </w:p>
    <w:p>
      <w:pPr>
        <w:pStyle w:val="Heading2"/>
      </w:pPr>
      <w:r>
        <w:t>朋友圈历史压测稿</w:t>
      </w:r>
    </w:p>
    <w:p>
      <w:r>
        <w:t>仍含旧占位和旧场景，仅供复盘；现行朋友圈使用H-A05-V1.0和14天表。</w:t>
      </w:r>
    </w:p>
    <w:p>
      <w:pPr>
        <w:pStyle w:val="Heading2"/>
      </w:pPr>
      <w:r>
        <w:t>产品价格与权益资料</w:t>
      </w:r>
    </w:p>
    <w:p>
      <w:r>
        <w:t>当前仍由产品放行闸门控制；没有当场批准主卡，不报价、不上架、不收款。</w:t>
      </w:r>
    </w:p>
    <w:p>
      <w:pPr>
        <w:pStyle w:val="Heading2"/>
      </w:pPr>
      <w:r>
        <w:t>合同、退款、授权模板</w:t>
      </w:r>
    </w:p>
    <w:p>
      <w:r>
        <w:t>模板不是已批准合同。主体、金额、交付、退出、开票和签署流程必须人工审核。</w:t>
      </w:r>
    </w:p>
    <w:p>
      <w:pPr>
        <w:pStyle w:val="Heading2"/>
      </w:pPr>
      <w:r>
        <w:t>原始文件完整ZIP</w:t>
      </w:r>
    </w:p>
    <w:p>
      <w:r>
        <w:t>只供管理员追溯，不是员工学习包。普通岗位从本手册下载现行文件。</w:t>
      </w:r>
    </w:p>
    <w:p>
      <w:pPr>
        <w:pStyle w:val="Heading1"/>
      </w:pPr>
      <w:r>
        <w:t>发布、变更和作废流程</w:t>
      </w:r>
    </w:p>
    <w:p>
      <w:pPr>
        <w:ind w:left="369" w:hanging="255"/>
      </w:pPr>
      <w:r>
        <w:t>1. 提出变更记录问题、来源、影响岗位和紧急程度。</w:t>
      </w:r>
    </w:p>
    <w:p>
      <w:pPr>
        <w:ind w:left="369" w:hanging="255"/>
      </w:pPr>
      <w:r>
        <w:t>2. 内容与业务复核确认事实、流程、话术和表单是否一致。</w:t>
      </w:r>
    </w:p>
    <w:p>
      <w:pPr>
        <w:ind w:left="369" w:hanging="255"/>
      </w:pPr>
      <w:r>
        <w:t>3. 合规/法务/财务审批涉及价格、合同、隐私、证据、主体和收款必须审批。</w:t>
      </w:r>
    </w:p>
    <w:p>
      <w:pPr>
        <w:ind w:left="369" w:hanging="255"/>
      </w:pPr>
      <w:r>
        <w:t>4. 生成版本号写明生效日、负责人、变更摘要和替代版本。</w:t>
      </w:r>
    </w:p>
    <w:p>
      <w:pPr>
        <w:ind w:left="369" w:hanging="255"/>
      </w:pPr>
      <w:r>
        <w:t>5. 发布与作废现行入口更新；旧版进入历史区并标红禁止执行。</w:t>
      </w:r>
    </w:p>
    <w:p>
      <w:pPr>
        <w:ind w:left="369" w:hanging="255"/>
      </w:pPr>
      <w:r>
        <w:t>6. 通知与重训受影响岗位签收；重大变更必须重新考核。</w:t>
      </w:r>
    </w:p>
    <w:p>
      <w:pPr>
        <w:ind w:left="170" w:right="170"/>
        <w:shd w:fill="FFF0F1"/>
      </w:pPr>
      <w:r>
        <w:rPr>
          <w:b/>
          <w:sz w:val="19"/>
        </w:rPr>
        <w:t>员工遇到版本冲突：立即停止当前动作，保留两个版本截图/文件名，上报主管，以本页现行编号和当场批准主卡为准。不得自行选择“看起来更新”的文件。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085"/>
        <w:sz w:val="16"/>
      </w:rPr>
      <w:t xml:space="preserve">第 </w:t>
    </w:r>
    <w:fldSimple w:instr="PAGE"/>
    <w:r>
      <w:rPr>
        <w:color w:val="667085"/>
        <w:sz w:val="16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Caption"/>
    </w:pPr>
    <w:r>
      <w:rPr>
        <w:color w:val="667085"/>
      </w:rPr>
      <w:t>徐州创业粉 · 内部工作手册  |  H-VERSION-V1.0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PingFang SC" w:hAnsi="PingFang SC" w:eastAsia="PingFang SC"/>
      <w:color w:val="18233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18233A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2445D8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1823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2445D8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徐州创业粉现行版本清单</dc:title>
  <dc:subject>徐州创业粉内部工作手册下载中心</dc:subject>
  <dc:creator>徐州创业粉项目组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