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445D8"/>
          <w:sz w:val="22"/>
        </w:rPr>
        <w:t>亿晟出品 · 徐州创业粉</w:t>
      </w:r>
    </w:p>
    <w:p>
      <w:pPr>
        <w:pStyle w:val="Title"/>
        <w:jc w:val="center"/>
      </w:pPr>
      <w:r>
        <w:t>徐州创业粉全链路交接与SLA</w:t>
      </w:r>
    </w:p>
    <w:p>
      <w:pPr>
        <w:jc w:val="center"/>
      </w:pPr>
      <w:r>
        <w:rPr>
          <w:color w:val="667085"/>
          <w:sz w:val="19"/>
        </w:rPr>
        <w:t>现行内部版本：H-A00-V1.0  |  更新：2026-07-19</w:t>
      </w:r>
    </w:p>
    <w:p>
      <w:pPr>
        <w:spacing w:before="240" w:after="240"/>
        <w:jc w:val="center"/>
        <w:shd w:fill="FFF0F1"/>
      </w:pPr>
      <w:r>
        <w:rPr>
          <w:b/>
          <w:sz w:val="19"/>
        </w:rPr>
        <w:t>内部学习与执行资料。产品价格、权益、合同、案例数字和活动名额，必须以当场批准主卡为准。</w:t>
      </w:r>
    </w:p>
    <w:p>
      <w:pPr>
        <w:pStyle w:val="Heading1"/>
      </w:pPr>
      <w:r>
        <w:t>一个客户、一个ID、一个主负责人、一个主动下一步</w:t>
      </w:r>
    </w:p>
    <w:p>
      <w:r>
        <w:t>A00不直接对客，负责客户去重、许可、标签、任务锁、交接、超时、风险、归因和版本。交出方发了消息不算完成，接收方确认接收才算交接成功。</w:t>
      </w:r>
    </w:p>
    <w:p>
      <w:pPr>
        <w:pStyle w:val="Heading1"/>
      </w:pPr>
      <w:r>
        <w:t>九段客户旅程</w:t>
      </w:r>
    </w:p>
    <w:p>
      <w:r>
        <w:t>朋友圈贯穿J3-J7，不单独替代客户当前节点。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rPr>
          <w:tblHeader w:val="true"/>
        </w:trPr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节点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客户状态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主责体系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完成标准</w:t>
            </w:r>
          </w:p>
        </w:tc>
        <w:tc>
          <w:tcPr>
            <w:tcW w:type="dxa" w:w="1994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下一节点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内容曝光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A05内容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内容ID和事实版本可追溯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J1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J1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直播互动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A01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场次/评论/问题已记录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J2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J2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站内咨询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A02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来意、标签和许可已确认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J3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J3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主动选渠道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A02/A00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电话/微信许可留痕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J4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J4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有效沟通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A03/A04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客户原话、问题和下一步完整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J5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J5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预约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A04/A06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客户主动确认时间和入口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J6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J6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到课/到场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A07/A09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学习成果和问题留痕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J7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J7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适配结论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A08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适合/补条件/暂缓书面化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J8或关闭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J8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合同/交易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法务/财务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全绿Gate、合同、官方收款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J9</w:t>
            </w:r>
          </w:p>
        </w:tc>
      </w:tr>
      <w:tr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J9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交付/结案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项目经理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启动、节点、验收和售后留痕</w:t>
            </w:r>
          </w:p>
        </w:tc>
        <w:tc>
          <w:tcPr>
            <w:tcW w:type="dxa" w:w="1994"/>
          </w:tcPr>
          <w:p>
            <w:pPr>
              <w:spacing w:after="20"/>
            </w:pPr>
            <w:r>
              <w:rPr>
                <w:sz w:val="17"/>
              </w:rPr>
              <w:t>结案/复购</w:t>
            </w:r>
          </w:p>
        </w:tc>
      </w:tr>
    </w:tbl>
    <w:p/>
    <w:p>
      <w:pPr>
        <w:pStyle w:val="Heading1"/>
      </w:pPr>
      <w:r>
        <w:t>统一标签字典</w:t>
      </w:r>
    </w:p>
    <w:p>
      <w:pPr>
        <w:pStyle w:val="Heading2"/>
      </w:pPr>
      <w:r>
        <w:t>生命周期 A-F</w:t>
      </w:r>
    </w:p>
    <w:p>
      <w:pPr>
        <w:pStyle w:val="ListBullet"/>
      </w:pPr>
      <w:r>
        <w:t>A 新增待识别</w:t>
      </w:r>
    </w:p>
    <w:p>
      <w:pPr>
        <w:pStyle w:val="ListBullet"/>
      </w:pPr>
      <w:r>
        <w:t>B 了解型</w:t>
      </w:r>
    </w:p>
    <w:p>
      <w:pPr>
        <w:pStyle w:val="ListBullet"/>
      </w:pPr>
      <w:r>
        <w:t>C 问题型</w:t>
      </w:r>
    </w:p>
    <w:p>
      <w:pPr>
        <w:pStyle w:val="ListBullet"/>
      </w:pPr>
      <w:r>
        <w:t>D 行动型</w:t>
      </w:r>
    </w:p>
    <w:p>
      <w:pPr>
        <w:pStyle w:val="ListBullet"/>
      </w:pPr>
      <w:r>
        <w:t>E 成交/交付中</w:t>
      </w:r>
    </w:p>
    <w:p>
      <w:pPr>
        <w:pStyle w:val="ListBullet"/>
      </w:pPr>
      <w:r>
        <w:t>F 暂缓/不适配</w:t>
      </w:r>
    </w:p>
    <w:p>
      <w:pPr>
        <w:pStyle w:val="Heading2"/>
      </w:pPr>
      <w:r>
        <w:t>人群 R1-R4</w:t>
      </w:r>
    </w:p>
    <w:p>
      <w:pPr>
        <w:pStyle w:val="ListBullet"/>
      </w:pPr>
      <w:r>
        <w:t>R1 找副业</w:t>
      </w:r>
    </w:p>
    <w:p>
      <w:pPr>
        <w:pStyle w:val="ListBullet"/>
      </w:pPr>
      <w:r>
        <w:t>R2 自己创业</w:t>
      </w:r>
    </w:p>
    <w:p>
      <w:pPr>
        <w:pStyle w:val="ListBullet"/>
      </w:pPr>
      <w:r>
        <w:t>R3 有团队/资源</w:t>
      </w:r>
    </w:p>
    <w:p>
      <w:pPr>
        <w:pStyle w:val="ListBullet"/>
      </w:pPr>
      <w:r>
        <w:t>R4 先学习了解</w:t>
      </w:r>
    </w:p>
    <w:p>
      <w:pPr>
        <w:pStyle w:val="Heading2"/>
      </w:pPr>
      <w:r>
        <w:t>问题 Q1-Q5</w:t>
      </w:r>
    </w:p>
    <w:p>
      <w:pPr>
        <w:pStyle w:val="ListBullet"/>
      </w:pPr>
      <w:r>
        <w:t>Q1 流量</w:t>
      </w:r>
    </w:p>
    <w:p>
      <w:pPr>
        <w:pStyle w:val="ListBullet"/>
      </w:pPr>
      <w:r>
        <w:t>Q2 项目</w:t>
      </w:r>
    </w:p>
    <w:p>
      <w:pPr>
        <w:pStyle w:val="ListBullet"/>
      </w:pPr>
      <w:r>
        <w:t>Q3 成交</w:t>
      </w:r>
    </w:p>
    <w:p>
      <w:pPr>
        <w:pStyle w:val="ListBullet"/>
      </w:pPr>
      <w:r>
        <w:t>Q4 交付</w:t>
      </w:r>
    </w:p>
    <w:p>
      <w:pPr>
        <w:pStyle w:val="ListBullet"/>
      </w:pPr>
      <w:r>
        <w:t>Q5 资金</w:t>
      </w:r>
    </w:p>
    <w:p>
      <w:pPr>
        <w:pStyle w:val="Heading2"/>
      </w:pPr>
      <w:r>
        <w:t>下一步 N1-N6</w:t>
      </w:r>
    </w:p>
    <w:p>
      <w:pPr>
        <w:pStyle w:val="ListBullet"/>
      </w:pPr>
      <w:r>
        <w:t>N1 测评</w:t>
      </w:r>
    </w:p>
    <w:p>
      <w:pPr>
        <w:pStyle w:val="ListBullet"/>
      </w:pPr>
      <w:r>
        <w:t>N2 资料</w:t>
      </w:r>
    </w:p>
    <w:p>
      <w:pPr>
        <w:pStyle w:val="ListBullet"/>
      </w:pPr>
      <w:r>
        <w:t>N3 诊断</w:t>
      </w:r>
    </w:p>
    <w:p>
      <w:pPr>
        <w:pStyle w:val="ListBullet"/>
      </w:pPr>
      <w:r>
        <w:t>N4 考察/课程</w:t>
      </w:r>
    </w:p>
    <w:p>
      <w:pPr>
        <w:pStyle w:val="ListBullet"/>
      </w:pPr>
      <w:r>
        <w:t>N5 暂缓</w:t>
      </w:r>
    </w:p>
    <w:p>
      <w:pPr>
        <w:pStyle w:val="ListBullet"/>
      </w:pPr>
      <w:r>
        <w:t>N6 禁止营销</w:t>
      </w:r>
    </w:p>
    <w:p>
      <w:pPr>
        <w:pStyle w:val="Heading1"/>
      </w:pPr>
      <w:r>
        <w:t>交接单必填字段</w:t>
      </w:r>
    </w:p>
    <w:p>
      <w:r>
        <w:t>任何一项缺失，接收方必须拒收或要求补件。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字段组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必填内容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错误示例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合格示例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身份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lead_id、渠道别名、来源ID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微信里的王姐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L20260719-001 / 抖音ID / 场次ID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状态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J/A/R/Q/N/X标签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高意向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J4-C-R2-Q2-N2-X0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原话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客户核心原话和上下文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想做项目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“每天能投入2小时，先想看项目怎么回款”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许可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渠道、时间、频率、时段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已加微信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同意微信；未同意电话/入群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资料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已发文件、版本、事实/证据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资料发过了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项目判断十问V1.0，证据E-003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任务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唯一下一步、负责人、截止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后续跟进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A04于7月20日18:00前发N2资料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风险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未结问题、禁止项、N6状态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暂无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价格未问；禁止电话；无资金风险</w:t>
            </w:r>
          </w:p>
        </w:tc>
      </w:tr>
    </w:tbl>
    <w:p/>
    <w:p>
      <w:pPr>
        <w:pStyle w:val="Heading1"/>
      </w:pPr>
      <w:r>
        <w:t>任务锁、超时和停止规则</w:t>
      </w:r>
    </w:p>
    <w:p>
      <w:pPr>
        <w:ind w:left="170" w:right="170"/>
        <w:shd w:fill="FFF0F1"/>
      </w:pPr>
      <w:r>
        <w:rPr>
          <w:b/>
          <w:sz w:val="19"/>
        </w:rPr>
        <w:t>任务锁</w:t>
      </w:r>
    </w:p>
    <w:p>
      <w:pPr>
        <w:pStyle w:val="Heading2"/>
      </w:pPr>
      <w:r>
        <w:t>同一时间只允许一个主动任务</w:t>
      </w:r>
    </w:p>
    <w:p>
      <w:r>
        <w:t>其他岗位只能补充信息，不能再次发送。交出方创建交接后关闭自己的主动营销任务。</w:t>
      </w:r>
    </w:p>
    <w:p>
      <w:pPr>
        <w:pStyle w:val="Heading2"/>
      </w:pPr>
      <w:r>
        <w:t>SLA到期先提醒，再升级</w:t>
      </w:r>
    </w:p>
    <w:p>
      <w:r>
        <w:t>未按时接收或处理，A00提醒主责；重大投诉、退款、隐私和风险不等待普通SLA。</w:t>
      </w:r>
    </w:p>
    <w:p>
      <w:pPr>
        <w:ind w:left="170" w:right="170"/>
        <w:shd w:fill="FFF0F1"/>
      </w:pPr>
      <w:r>
        <w:rPr>
          <w:b/>
          <w:sz w:val="19"/>
        </w:rPr>
        <w:t>N6</w:t>
      </w:r>
    </w:p>
    <w:p>
      <w:pPr>
        <w:pStyle w:val="Heading2"/>
      </w:pPr>
      <w:r>
        <w:t>全局停止营销</w:t>
      </w:r>
    </w:p>
    <w:p>
      <w:r>
        <w:t>任一岗位写入N6，所有营销节点同步停止。只有客户主动重新咨询并明确同意，主管才可恢复。</w:t>
      </w:r>
    </w:p>
    <w:p>
      <w:pPr>
        <w:pStyle w:val="Heading1"/>
      </w:pPr>
      <w:r>
        <w:t>建议SLA｜试运行后冻结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rPr>
          <w:tblHeader w:val="true"/>
        </w:trPr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节点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建议首响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交接确认</w:t>
            </w:r>
          </w:p>
        </w:tc>
        <w:tc>
          <w:tcPr>
            <w:tcW w:type="dxa" w:w="2493"/>
            <w:shd w:fill="2445D8"/>
          </w:tcPr>
          <w:p>
            <w:pPr>
              <w:spacing w:after="20"/>
            </w:pPr>
            <w:r>
              <w:rPr>
                <w:b/>
                <w:color w:val="FFFFFF"/>
                <w:sz w:val="17"/>
              </w:rPr>
              <w:t>超时升级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直播中私信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5分钟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30分钟内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私信主管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工作时段私信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30分钟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2小时内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客资主管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电话预约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按约定时段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通话后30分钟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电话主管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微信新客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10分钟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48小时内完成识别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私域主管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群内普通问题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工作时段30分钟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当日闭环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社群主管</w:t>
            </w:r>
          </w:p>
        </w:tc>
      </w:tr>
      <w:tr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投诉/退款/隐私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立即停止营销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30分钟内负责人接收</w:t>
            </w:r>
          </w:p>
        </w:tc>
        <w:tc>
          <w:tcPr>
            <w:tcW w:type="dxa" w:w="2493"/>
          </w:tcPr>
          <w:p>
            <w:pPr>
              <w:spacing w:after="20"/>
            </w:pPr>
            <w:r>
              <w:rPr>
                <w:sz w:val="17"/>
              </w:rPr>
              <w:t>负责人+合规/售后</w:t>
            </w:r>
          </w:p>
        </w:tc>
      </w:tr>
    </w:tbl>
    <w:p/>
    <w:p>
      <w:pPr>
        <w:ind w:left="170" w:right="170"/>
        <w:shd w:fill="EDF2FF"/>
      </w:pPr>
      <w:r>
        <w:rPr>
          <w:b/>
          <w:sz w:val="19"/>
        </w:rPr>
        <w:t>以上SLA为内部首版建议，团队完成3天真实压测后由负责人冻结。未冻结前不得以SLA数字对客户作服务承诺。</w:t>
      </w:r>
    </w:p>
    <w:p>
      <w:pPr>
        <w:pStyle w:val="Heading1"/>
      </w:pPr>
      <w:r>
        <w:t>归因规则</w:t>
      </w:r>
    </w:p>
    <w:p>
      <w:pPr>
        <w:ind w:left="369" w:hanging="255"/>
      </w:pPr>
      <w:r>
        <w:t>1. 首次来源永久保留，不被后续渠道覆盖。</w:t>
      </w:r>
    </w:p>
    <w:p>
      <w:pPr>
        <w:ind w:left="369" w:hanging="255"/>
      </w:pPr>
      <w:r>
        <w:t>2. 发起内容记录本轮咨询对应的直播、视频、朋友圈或社群内容ID。</w:t>
      </w:r>
    </w:p>
    <w:p>
      <w:pPr>
        <w:ind w:left="369" w:hanging="255"/>
      </w:pPr>
      <w:r>
        <w:t>3. 渠道迁移记录客户何时主动选择电话、微信、社群或线下。</w:t>
      </w:r>
    </w:p>
    <w:p>
      <w:pPr>
        <w:ind w:left="369" w:hanging="255"/>
      </w:pPr>
      <w:r>
        <w:t>4. 最后有效触点记录真正解决问题并产生下一步的节点。</w:t>
      </w:r>
    </w:p>
    <w:p>
      <w:pPr>
        <w:ind w:left="369" w:hanging="255"/>
      </w:pPr>
      <w:r>
        <w:t>5. 协助触点保留完整接触序列。经营归因与奖金/佣金归因分开。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rPr>
        <w:color w:val="667085"/>
        <w:sz w:val="16"/>
      </w:rPr>
      <w:t xml:space="preserve">第 </w:t>
    </w:r>
    <w:fldSimple w:instr="PAGE"/>
    <w:r>
      <w:rPr>
        <w:color w:val="667085"/>
        <w:sz w:val="16"/>
      </w:rPr>
      <w:t xml:space="preserve"> 页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Caption"/>
    </w:pPr>
    <w:r>
      <w:rPr>
        <w:color w:val="667085"/>
      </w:rPr>
      <w:t>徐州创业粉 · 内部工作手册  |  H-A00-V1.0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300" w:lineRule="auto"/>
    </w:pPr>
    <w:rPr>
      <w:rFonts w:ascii="PingFang SC" w:hAnsi="PingFang SC" w:eastAsia="PingFang SC"/>
      <w:color w:val="18233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00"/>
      <w:outlineLvl w:val="0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100"/>
      <w:outlineLvl w:val="1"/>
    </w:pPr>
    <w:rPr>
      <w:rFonts w:asciiTheme="majorHAnsi" w:eastAsiaTheme="majorEastAsia" w:hAnsiTheme="majorHAnsi" w:cstheme="majorBidi" w:ascii="PingFang SC" w:hAnsi="PingFang SC" w:eastAsia="PingFang SC"/>
      <w:b/>
      <w:bCs/>
      <w:color w:val="2445D8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100"/>
      <w:outlineLvl w:val="2"/>
    </w:pPr>
    <w:rPr>
      <w:rFonts w:asciiTheme="majorHAnsi" w:eastAsiaTheme="majorEastAsia" w:hAnsiTheme="majorHAnsi" w:cstheme="majorBidi" w:ascii="PingFang SC" w:hAnsi="PingFang SC" w:eastAsia="PingFang SC"/>
      <w:b/>
      <w:bCs/>
      <w:color w:val="1823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00" w:line="240" w:lineRule="auto" w:before="200"/>
      <w:contextualSpacing/>
    </w:pPr>
    <w:rPr>
      <w:rFonts w:asciiTheme="majorHAnsi" w:eastAsiaTheme="majorEastAsia" w:hAnsiTheme="majorHAnsi" w:cstheme="majorBidi" w:ascii="PingFang SC" w:hAnsi="PingFang SC" w:eastAsia="PingFang SC"/>
      <w:b/>
      <w:color w:val="2445D8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徐州创业粉全链路交接与SLA</dc:title>
  <dc:subject>徐州创业粉内部工作手册下载中心</dc:subject>
  <dc:creator>徐州创业粉项目组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