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/>
    <w:p>
      <w:pPr>
        <w:spacing w:before="560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创业粉直播间｜30 类观众沙盘推演与 V1.4 复盘记录</w:t>
      </w:r>
    </w:p>
    <w:p>
      <w:pPr>
        <w:spacing w:before="160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30 类观众沙盘推演与 V1.4 复盘记录</w:t>
      </w:r>
    </w:p>
    <w:p>
      <w:pPr>
        <w:spacing w:before="480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V1.4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/>
    <w:p>
      <w:pPr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版本：V1.4｜用途：内部彩排、岗位培训、开播验收｜模拟数据严禁对外冒充真实评论、订单或客户见证 本轮由 5 组观众智能体分别模拟 6 类观众，按 0、10、25、45、65、75、80、85、90 分钟回放 V1.3 全场。每位观众记录理解、疑问、退出点、购买决定和误购风险，再把共性漏洞回写到五份岗位资料。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一、第一轮总体结果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指标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第一轮结果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正确解释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模拟观众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内部沙盘，不是真实流量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 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其中多数仍带有项目入口或带做误解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条件性购买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 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要补成果样张、专业边界或团队权益后才考虑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18 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包含被正确劝退者和因信息过载退出者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高或极高误购风险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13 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主要集中在低价课、手机、项目入口、专业服务和投资联想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最集中退出区间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70-85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证据编号过载、主体隐私长读、案例后立即开链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第一轮不能用“下单人数”判断好坏。低价冲动、错误期待或把课程当项目入口的购买，属于失败转化。正式目标是：该买的人理解后购买，不适合的人被明确劝退，购买者能复述“只买课、不进项目、无收益保证”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二、30 类观众逐人结论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A 组｜完全新手和低数字技能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54"/>
        <w:gridCol w:w="1654"/>
        <w:gridCol w:w="1654"/>
        <w:gridCol w:w="1654"/>
        <w:gridCol w:w="1654"/>
        <w:gridCol w:w="1654"/>
      </w:tblGrid>
      <w:tr>
        <w:trPr>
          <w:cantSplit/>
          <w:tblHeader w:val="true"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观众角色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第一轮决定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误购风险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最大退出点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关键修复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A01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全职宝妈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 分钟才听到回放和设备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开场前置手机、时间、回放三条件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A02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县城待业者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 分钟怀疑没有案例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明说不分配项目，课程合格结论可是不做项目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A03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50 岁传统个体户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主体和平台术语过载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对外只讲钱付谁、谁上课、找谁负责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A04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只会手机者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极高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反复得不到手机完成范围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 开链前强制核设备和手机边界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A05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每天仅一小时者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 分钟证据段与其问题无关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区分学习时间和经营响应时间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A06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从未做过电商者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六个数字和字母编号过载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一件商品主线、100 元账、证据三问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B 组｜资金敏感和急于赚钱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54"/>
        <w:gridCol w:w="1654"/>
        <w:gridCol w:w="1654"/>
        <w:gridCol w:w="1654"/>
        <w:gridCol w:w="1654"/>
        <w:gridCol w:w="1654"/>
      </w:tblGrid>
      <w:tr>
        <w:trPr>
          <w:cantSplit/>
          <w:tblHeader w:val="true"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观众角色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第一轮决定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误购风险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最大退出点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关键修复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B01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负债者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买后等项目方案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课费也不得借；客服不提供项目分配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B02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准备借钱者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10-45 分钟被风险提示劝退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保留明确劝退，不用低价课重新承接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B03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失业急找收入者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把课程当找收入项目第一步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买课不是项目评估前置条件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B04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手里仅数百元者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把低价当可试错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课程费影响生活也不要买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B05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配偶反对创业者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低价导致秘密购买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提醒共同财务先共同决策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B06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曾被项目割过者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 分钟退款与后端疑虑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营销默认关闭，退款改成关键节点白话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C 组｜有业务基础和专业型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54"/>
        <w:gridCol w:w="1654"/>
        <w:gridCol w:w="1654"/>
        <w:gridCol w:w="1654"/>
        <w:gridCol w:w="1654"/>
        <w:gridCol w:w="1654"/>
      </w:tblGrid>
      <w:tr>
        <w:trPr>
          <w:cantSplit/>
          <w:tblHeader w:val="true"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观众角色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第一轮决定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误购风险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最大退出点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关键修复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C01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已有抖店商家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段无诊断和实操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前置说明不含现店诊断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C02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做过 Temu 卖家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具体站点与规则版本不明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规则卡必须填平台、站点、主体、模式、类目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C03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1688 工厂主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条件性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没有 SKU 和履约责任表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明确入门课不含工厂渠道方案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C04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农产品供货商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条件性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资质、冷链、损耗只讲原则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不把通用课说成具体准入判断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C05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本地服务门店老板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极高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直播入口与商品电商内容错配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明说不含 POI、团购、预约、核销诊断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C06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内容创作者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条件性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只有概念，无工具演示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增加批准版一分钟演示和版权数据边界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D 组｜强质疑和证据核验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54"/>
        <w:gridCol w:w="1654"/>
        <w:gridCol w:w="1654"/>
        <w:gridCol w:w="1654"/>
        <w:gridCol w:w="1654"/>
        <w:gridCol w:w="1654"/>
      </w:tblGrid>
      <w:tr>
        <w:trPr>
          <w:cantSplit/>
          <w:tblHeader w:val="true"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观众角色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第一轮决定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误购风险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最大退出点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关键修复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D01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反诈意识强者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五个主体仍是占位符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正式开播前填实三主体白话卡和完整验真卡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D02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律师或合同思维者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文件效力和责任边界未冻结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商品页、主卡、客服统一版本并留关系证明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D03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财务人员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68/98 未冻结唯一含税总价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P1 判绿前只留一个实际支付总价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D04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数据分析者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A/B/C/D 正式目录为空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固定知识讲解模式，不暗示结果数字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D05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隐私敏感者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处理者、保存期、外部接收未填实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隐私摘要和营销默认关闭进入 G7/G9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D06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有退款投诉经历者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退款节点和到账时限未确定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申请、受理、审核、成功、到账五态填实</w:t>
            </w:r>
          </w:p>
        </w:tc>
      </w:tr>
    </w:tbl>
    <w:p>
      <w:pPr>
        <w:spacing w:after="20"/>
      </w:pP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E 组｜高资源和决策者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54"/>
        <w:gridCol w:w="1654"/>
        <w:gridCol w:w="1654"/>
        <w:gridCol w:w="1654"/>
        <w:gridCol w:w="1654"/>
        <w:gridCol w:w="1654"/>
      </w:tblGrid>
      <w:tr>
        <w:trPr>
          <w:cantSplit/>
          <w:tblHeader w:val="true"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观众角色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第一轮决定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误购风险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最大退出点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V1.4 关键修复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E01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有钱没时间者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25 分钟确认没有操盘人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明确本场不是代运营或被动收入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E02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人团队负责人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条件性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多人权益和企业授权不清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单订单人数和企业资料授权写入主卡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E03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城市合作意向人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把低价课当商务入口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城市合作独立审核，不收意向金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E04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财务投资意向人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项目和投资咨询混在一起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投资类公域强拒绝，机构咨询转合规审查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E05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连续创业者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条件性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基础内容多、成果样张少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先上两份课程成果样张再谈价值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E06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想直接进项目者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不买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极高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案例后立即开链形成入口联想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增加去联想缓冲和六项购买确认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三、第一轮发现的十五个共性漏洞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低价课容易被理解为赚钱项目的入口、筛选课或优先权。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“先学认知再判断项目”容易被听成必须先买课。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连项目借款被拦住，但借钱或占生活费买课的拦截出现太晚。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手机范围、每天一小时和回放规则没有在开场回答。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课程独立价值抽象，缺少五张成果表和完成版样张。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开场与成交段完整主体、隐私字段口播太长。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六个数字字段缺少一笔 100 元订单的完整白话账。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Temu 和抖店连续讲解容易被当成隐藏招商项目。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专业观众没有提前分流，容易误买现店诊断或定制方案。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AI 标题权重高，但原稿没有可见演示和工具版本。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知识模式仍让新手背 P/A/B/C/D 和长编号。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项目个案结束后立即开课链接，形成结果到购买的心理联想。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真实订单播报仍可能造成跟单和“别人买就代表项目好”的误解。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项目适配、城市合作和投资咨询没有完全拆成三条独立边界。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价格、主体、课程、退款、隐私和 A/B/C/D 原件仍未填实，当前只具备内部彩排条件。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四、V1.4 已回写的升级动作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升级动作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回写位置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验收标准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秒一件商品路线图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0-5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新手能复述货、平台、人、钱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手机/一小时/回放前置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主播、助播、小助理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开场 5 分钟内主动出现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课程费也不得借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四岗位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出现负债或生活费评论立即拦截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100 元白话账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35-40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观众能区分支付、退款、结算、成本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专业观众前置分流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40-45 分钟、助播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不把通用课卖成诊断或定制服务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一分钟 AI 整理演示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60-65 分钟、中控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工具、版本、输入、输出、人工复核可见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对外三问、对内六项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四岗位、证据手册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观众无需背内部字母和长编号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项目证据去联想缓冲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79-80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明说不是本课效果、招募或结果预告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六项购买确认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主播、助播、中控 G9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只买课、不进项目、课费不借等全部读完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营销默认关闭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主播、中控、小助理、证据手册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另行主动同意才开启营销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三类商务分流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中控、岗位问答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项目、城市、投资不共用入口和话术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模拟材料隔离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证据手册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不进入真实证据和客户见证目录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五、第二轮回放结果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第二轮仍使用同样 30 类角色，不允许只换成容易成交的人。每组按以下指标给出通过或不通过：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指标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目标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第二轮结果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 秒内知道卖的是认知课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 通过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知道买课不进入项目名单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 通过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知道无资格、名额、优先权或收益保证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 通过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手机/时间/回放条件未明时不下单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 通过；未填实即不得开链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负债、借款或生活费观众被正确劝退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6/6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6/6 通过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专业观众知道本课不含诊断和定制服务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6/6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6/6 通过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对外先收到三问、内部保留六项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 通过；真人能否复述待现场彩排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证据个案不触发项目联想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30/30 通过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购买者误购风险为高或极高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 人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未填实主数据时链接保持关闭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100%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100% 通过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五组二次回放均为 6/6 通过，合计 30/30。第一轮最严重的“低价课等于项目入口”“客服联系就是带项目”“只会手机也能全部做”“案例就是买课结果预告”四类误解，在 V1.4 中均被开场、固定置顶、79-80 分钟去联想缓冲、G9a-G9e 逐项闸门和购买前六项确认共同拦截。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第二轮仍发现四个剩余执行风险：主数据占位符必须填实；专业观众边界必须在开场主动读；G9a-G9e 不得合并回执；退款、设备、回放和隐私卡必须用普通观众看得懂的短句上屏。上述风险已经写入岗位稿，但仍需真人彩排验证语速、画面可读性和现场口令执行。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六、正式开播放行结论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当前结论：</w:t>
      </w:r>
      <w:r>
        <w:rPr>
          <w:rFonts w:ascii="PingFang SC" w:hAnsi="PingFang SC" w:eastAsia="PingFang SC"/>
          <w:b/>
          <w:color w:val="222222"/>
          <w:sz w:val="21"/>
        </w:rPr>
        <w:t>只允许内部彩排，不允许正式挂链接。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原因不是话术数量不够，而是唯一价格、交易类目、五个主体、课程时间与成果、退款、隐私及真实项目证据尚未填实。P1-P4 全绿前，中控不得生成 P 套件 ID；A/B/C/D 未形成同一案例全绿前，只能使用知识讲解模式。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场次负责人签字：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商品负责人签字：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履约负责人签字：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合规与数据审核签字：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复盘日期：</w:t>
      </w:r>
      <w:r>
        <w:rPr>
          <w:rFonts w:ascii="PingFang SC" w:hAnsi="PingFang SC" w:eastAsia="PingFang SC"/>
          <w:b/>
          <w:color w:val="C65D21"/>
          <w:sz w:val="21"/>
        </w:rPr>
        <w:t>【填写】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创业粉直播间｜30 类观众沙盘推演与 V1.4 复盘记录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