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9" w:name="徐州创业粉项目合规与合同中心"/>
    <w:p>
      <w:pPr>
        <w:pStyle w:val="Heading1"/>
      </w:pPr>
      <w:r>
        <w:rPr>
          <w:rFonts w:hint="eastAsia"/>
        </w:rPr>
        <w:t xml:space="preserve">徐州创业粉项目｜合规与合同中心</w:t>
      </w:r>
    </w:p>
    <w:p>
      <w:pPr>
        <w:pStyle w:val="FirstParagraph"/>
      </w:pPr>
      <w:r>
        <w:rPr>
          <w:rFonts w:hint="eastAsia"/>
        </w:rPr>
        <w:t xml:space="preserve">使用顺序：先看00使用说明和01风险总控；再填经营主体、退款规则、合同必填字段冻结表；根据真实关系选合同；最后填写上线放行单。</w:t>
      </w:r>
    </w:p>
    <w:p>
      <w:pPr>
        <w:pStyle w:val="BodyText"/>
      </w:pPr>
      <w:r>
        <w:rPr>
          <w:rFonts w:hint="eastAsia"/>
        </w:rPr>
        <w:t xml:space="preserve">合同路由：认知课用02；3天训练营用03；19,800/69,800元服务型项目用04；298,000元城市样板用05；100万/200万元只用06尽调框架，未经专项法律财税审核不得直接签约收款；人员参与项目先看07；一级推荐用08；涉及个人信息、案例、照片视频时用09；所有后端项目签约时配套10风险揭示。</w:t>
      </w:r>
    </w:p>
    <w:p>
      <w:pPr>
        <w:pStyle w:val="BodyText"/>
      </w:pPr>
      <w:r>
        <w:rPr>
          <w:rFonts w:hint="eastAsia"/>
        </w:rPr>
        <w:t xml:space="preserve">绝对禁止：主体不清；只有价格没有交付；保本、固定收益、确定回本；交费取得推广资格或层级计酬；面向不特定对象出资分红；个人账户异常收款；未经授权使用客户数据或肖像；高金额合作未尽调。</w:t>
      </w:r>
    </w:p>
    <w:p>
      <w:pPr>
        <w:pStyle w:val="BodyText"/>
      </w:pPr>
      <w:r>
        <w:rPr>
          <w:rFonts w:hint="eastAsia"/>
        </w:rPr>
        <w:t xml:space="preserve">本目录是内部合规底稿和合同模板，不替代执业律师对最终交易结构及签署版本的专项意见。</w:t>
      </w:r>
    </w:p>
    <w:bookmarkEnd w:id="19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2026-07-13T14:39:47Z</dcterms:created>
  <dcterms:modified xsi:type="dcterms:W3CDTF">2026-07-13T14:39:47Z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