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00787A"/>
        </w:rPr>
        <w:t>个人信息处理及案例肖像授权书模板</w:t>
      </w:r>
    </w:p>
    <w:p>
      <w:pPr>
        <w:jc w:val="center"/>
      </w:pPr>
      <w:r>
        <w:rPr>
          <w:b/>
          <w:color w:val="008B8C"/>
        </w:rPr>
        <w:t>内部模板｜必填字段、附件及审核未完成前不得签署、收款或上线</w:t>
      </w:r>
    </w:p>
    <w:p>
      <w:pPr>
        <w:pStyle w:val="Heading1"/>
      </w:pPr>
      <w:r>
        <w:rPr>
          <w:color w:val="00787A"/>
        </w:rPr>
        <w:t>一、处理者</w:t>
      </w:r>
    </w:p>
    <w:p>
      <w:r>
        <w:t>主体全称、联系方式、服务活动、隐私政策版本：【必填】。</w:t>
      </w:r>
    </w:p>
    <w:p>
      <w:pPr>
        <w:pStyle w:val="Heading1"/>
      </w:pPr>
      <w:r>
        <w:rPr>
          <w:color w:val="00787A"/>
        </w:rPr>
        <w:t>二、必要处理</w:t>
      </w:r>
    </w:p>
    <w:p>
      <w:r>
        <w:t>为报名、签约、付款、开票、交付、售后和依法留档处理必要的姓名、联系、订单合同、付款发票、出勤交付和客诉信息；字段、期限和接收方应列明。</w:t>
      </w:r>
    </w:p>
    <w:p>
      <w:pPr>
        <w:pStyle w:val="Heading1"/>
      </w:pPr>
      <w:r>
        <w:rPr>
          <w:color w:val="00787A"/>
        </w:rPr>
        <w:t>三、分别选择</w:t>
      </w:r>
    </w:p>
    <w:p>
      <w:r>
        <w:t>□同意/□不同意电话微信后续沟通；□同意/□不同意活动通知；□同意/□不同意脱敏案例展示；□同意/□不同意肖像声音使用。每项分别填写渠道、目的、期限和撤回方式。不同意非必要授权不影响基础服务。</w:t>
      </w:r>
    </w:p>
    <w:p>
      <w:pPr>
        <w:pStyle w:val="Heading1"/>
      </w:pPr>
      <w:r>
        <w:rPr>
          <w:color w:val="00787A"/>
        </w:rPr>
        <w:t>四、案例限制</w:t>
      </w:r>
    </w:p>
    <w:p>
      <w:r>
        <w:t>不得歪曲剪辑；经营数据区分营业额、回款、成本、利润和实际所得；不得将个案表述为普遍结果；身份证、住址、账户和未公开联系方式必须删除或遮挡。</w:t>
      </w:r>
    </w:p>
    <w:p>
      <w:pPr>
        <w:pStyle w:val="Heading1"/>
      </w:pPr>
      <w:r>
        <w:rPr>
          <w:color w:val="00787A"/>
        </w:rPr>
        <w:t>五、权利</w:t>
      </w:r>
    </w:p>
    <w:p>
      <w:r>
        <w:t>本人可依法查询、复制、更正、删除信息并撤回可选同意。申请电话/邮箱/地址：【必填】。法定留存部分应说明依据及到期日。</w:t>
      </w:r>
    </w:p>
    <w:p>
      <w:pPr>
        <w:pStyle w:val="Heading1"/>
      </w:pPr>
      <w:r>
        <w:rPr>
          <w:color w:val="00787A"/>
        </w:rPr>
        <w:t>六、签署</w:t>
      </w:r>
    </w:p>
    <w:p>
      <w:r>
        <w:t>处理者盖章：________ 本人签字：________ 日期：____年__月__日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V1.0｜2026-07-13｜未经批准不得对外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t>徐州创业粉项目｜合规与合同中心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libaba PuHuiTi 3.0" w:hAnsi="Alibaba PuHuiTi 3.0" w:eastAsia="Alibaba PuHuiTi 3.0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B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libaba PuHuiTi 3.0" w:hAnsi="Alibaba PuHuiTi 3.0" w:eastAsia="Alibaba PuHuiTi 3.0"/>
      <w:color w:val="0078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