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就业与项目协作关系选择指引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一、判断劳动关系</w:t>
      </w:r>
    </w:p>
    <w:p>
      <w:r>
        <w:t>固定考勤排班、持续日常指挥、奖惩、固定工资、主要工具和场所由公司提供、长期纳入组织管理，通常更接近劳动关系。合同名称不是决定因素。</w:t>
      </w:r>
    </w:p>
    <w:p>
      <w:pPr>
        <w:pStyle w:val="Heading1"/>
      </w:pPr>
      <w:r>
        <w:rPr>
          <w:color w:val="00787A"/>
        </w:rPr>
        <w:t>二、劳动关系</w:t>
      </w:r>
    </w:p>
    <w:p>
      <w:r>
        <w:t>实际属于劳动关系的，应依法签劳动合同，明确岗位地点、期限试用、工时休假、工资提成、发薪、社保、保密、知识产权和离职交接。不得以项目亏损拖欠法定工资。</w:t>
      </w:r>
    </w:p>
    <w:p>
      <w:pPr>
        <w:pStyle w:val="Heading1"/>
      </w:pPr>
      <w:r>
        <w:rPr>
          <w:color w:val="00787A"/>
        </w:rPr>
        <w:t>三、独立协作</w:t>
      </w:r>
    </w:p>
    <w:p>
      <w:r>
        <w:t>只有真实独立的成果型合作，才使用项目协作协议，并明确成果、质量、期限、修改、验收、费用税费、工具成本、保密数据、知识产权、安全和终止。不得按发展人员层级计酬。</w:t>
      </w:r>
    </w:p>
    <w:p>
      <w:pPr>
        <w:pStyle w:val="Heading1"/>
      </w:pPr>
      <w:r>
        <w:rPr>
          <w:color w:val="00787A"/>
        </w:rPr>
        <w:t>四、审批</w:t>
      </w:r>
    </w:p>
    <w:p>
      <w:r>
        <w:t>使用前填写：岗位/项目、实际管理方式、人事意见、财务意见、律师复核和负责人批准。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