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全项目合规风险总控手册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一、红线风险</w:t>
      </w:r>
    </w:p>
    <w:p>
      <w:pPr>
        <w:pStyle w:val="ListBullet"/>
      </w:pPr>
      <w:r>
        <w:t>非法集资：未经许可，向不特定对象以还本付息或投资回报吸收资金。</w:t>
      </w:r>
    </w:p>
    <w:p>
      <w:pPr>
        <w:pStyle w:val="ListBullet"/>
      </w:pPr>
      <w:r>
        <w:t>传销：交费取得加入或推广资格，按直接或间接发展人员数量、层级或团队业绩计酬。</w:t>
      </w:r>
    </w:p>
    <w:p>
      <w:pPr>
        <w:pStyle w:val="ListBullet"/>
      </w:pPr>
      <w:r>
        <w:t>虚假宣传：保本、稳赚、固定收益、确定回本周期、伪造订单案例、隐瞒关键成本。</w:t>
      </w:r>
    </w:p>
    <w:p>
      <w:pPr>
        <w:pStyle w:val="ListBullet"/>
      </w:pPr>
      <w:r>
        <w:t>业务错配：用课程或服务协议掩盖共同出资经营、股权投资、借款或劳动用工。</w:t>
      </w:r>
    </w:p>
    <w:p>
      <w:r>
        <w:t>出现以上情况立即停止宣传、签约和收款。</w:t>
      </w:r>
    </w:p>
    <w:p>
      <w:pPr>
        <w:pStyle w:val="Heading1"/>
      </w:pPr>
      <w:r>
        <w:rPr>
          <w:color w:val="00787A"/>
        </w:rPr>
        <w:t>二、高风险</w:t>
      </w:r>
    </w:p>
    <w:p>
      <w:pPr>
        <w:pStyle w:val="ListBullet"/>
      </w:pPr>
      <w:r>
        <w:t>签约、收款、开票、交付、售后主体不一致且未披露。</w:t>
      </w:r>
    </w:p>
    <w:p>
      <w:pPr>
        <w:pStyle w:val="ListBullet"/>
      </w:pPr>
      <w:r>
        <w:t>服务费、保证金、备货款、代收款、投资款混收混账。</w:t>
      </w:r>
    </w:p>
    <w:p>
      <w:pPr>
        <w:pStyle w:val="ListBullet"/>
      </w:pPr>
      <w:r>
        <w:t>认知课或训练营实质上只是高价项目招商门票。</w:t>
      </w:r>
    </w:p>
    <w:p>
      <w:pPr>
        <w:pStyle w:val="ListBullet"/>
      </w:pPr>
      <w:r>
        <w:t>店铺、账号、货物、客户、内容和经营数据归属不清。</w:t>
      </w:r>
    </w:p>
    <w:p>
      <w:pPr>
        <w:pStyle w:val="ListBullet"/>
      </w:pPr>
      <w:r>
        <w:t>格式条款一律不退、排除法定责任或设置畸高违约金。</w:t>
      </w:r>
    </w:p>
    <w:p>
      <w:pPr>
        <w:pStyle w:val="ListBullet"/>
      </w:pPr>
      <w:r>
        <w:t>实际按员工方式考勤、管理、奖惩，却只签项目合作协议。</w:t>
      </w:r>
    </w:p>
    <w:p>
      <w:pPr>
        <w:pStyle w:val="ListBullet"/>
      </w:pPr>
      <w:r>
        <w:t>电话、微信、企微线索跨主体共享，无告知同意、权限和删除机制。</w:t>
      </w:r>
    </w:p>
    <w:p>
      <w:pPr>
        <w:pStyle w:val="ListBullet"/>
      </w:pPr>
      <w:r>
        <w:t>客户见证、肖像、聊天、后台经营数据无书面授权。</w:t>
      </w:r>
    </w:p>
    <w:p>
      <w:pPr>
        <w:pStyle w:val="Heading1"/>
      </w:pPr>
      <w:r>
        <w:rPr>
          <w:color w:val="00787A"/>
        </w:rPr>
        <w:t>三、产品门槛</w:t>
      </w:r>
    </w:p>
    <w:p>
      <w:pPr>
        <w:pStyle w:val="ListBullet"/>
      </w:pPr>
      <w:r>
        <w:t>认知课：名称、唯一价格、时长、回放、预约、有效期和退款冻结。</w:t>
      </w:r>
    </w:p>
    <w:p>
      <w:pPr>
        <w:pStyle w:val="ListBullet"/>
      </w:pPr>
      <w:r>
        <w:t>训练营：三天课表、讲师、场地、食宿、资料、改退及最低交付冻结。</w:t>
      </w:r>
    </w:p>
    <w:p>
      <w:pPr>
        <w:pStyle w:val="ListBullet"/>
      </w:pPr>
      <w:r>
        <w:t>19,800/69,800元：真实项目、服务清单、周期、客户额外投入和验收冻结。</w:t>
      </w:r>
    </w:p>
    <w:p>
      <w:pPr>
        <w:pStyle w:val="ListBullet"/>
      </w:pPr>
      <w:r>
        <w:t>298,000元：区域、授权、客户、数据、成本、分账、考核和退出冻结。</w:t>
      </w:r>
    </w:p>
    <w:p>
      <w:pPr>
        <w:pStyle w:val="ListBullet"/>
      </w:pPr>
      <w:r>
        <w:t>100万/200万元：业务定性、资金用途、账户治理、审计、亏损和退出经专项审核。</w:t>
      </w:r>
    </w:p>
    <w:p>
      <w:pPr>
        <w:pStyle w:val="Heading1"/>
      </w:pPr>
      <w:r>
        <w:rPr>
          <w:color w:val="00787A"/>
        </w:rPr>
        <w:t>四、依据</w:t>
      </w:r>
    </w:p>
    <w:p>
      <w:r>
        <w:t>签署时核验现行版本：《民法典》《消费者权益保护法》及其实施条例、《电子商务法》《广告法》《反不正当竞争法》《个人信息保护法》《数据安全法》《网络交易监督管理办法》《直播电商监督管理办法》《防范和处置非法集资条例》《禁止传销条例》《劳动合同法》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