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00787A"/>
        </w:rPr>
        <w:t>合规与合同中心使用说明</w:t>
      </w:r>
    </w:p>
    <w:p>
      <w:pPr>
        <w:jc w:val="center"/>
      </w:pPr>
      <w:r>
        <w:rPr>
          <w:b/>
          <w:color w:val="008B8C"/>
        </w:rPr>
        <w:t>内部模板｜必填字段、附件及审核未完成前不得签署、收款或上线</w:t>
      </w:r>
    </w:p>
    <w:p>
      <w:pPr>
        <w:pStyle w:val="Heading1"/>
      </w:pPr>
      <w:r>
        <w:rPr>
          <w:color w:val="00787A"/>
        </w:rPr>
        <w:t>一、使用原则</w:t>
      </w:r>
    </w:p>
    <w:p>
      <w:pPr>
        <w:pStyle w:val="ListBullet"/>
      </w:pPr>
      <w:r>
        <w:t>合同名称服从真实业务关系，不能用服务合同包装投资、合伙或劳动关系。</w:t>
      </w:r>
    </w:p>
    <w:p>
      <w:pPr>
        <w:pStyle w:val="ListBullet"/>
      </w:pPr>
      <w:r>
        <w:t>产品卡、价格、交付、验收、退款、签约主体、收款、开票、售后必须一致。</w:t>
      </w:r>
    </w:p>
    <w:p>
      <w:pPr>
        <w:pStyle w:val="ListBullet"/>
      </w:pPr>
      <w:r>
        <w:t>所有销售承诺、宣传页面、聊天记录和补充权益均须留痕并纳入审核。</w:t>
      </w:r>
    </w:p>
    <w:p>
      <w:pPr>
        <w:pStyle w:val="Heading1"/>
      </w:pPr>
      <w:r>
        <w:rPr>
          <w:color w:val="00787A"/>
        </w:rPr>
        <w:t>二、四级放行</w:t>
      </w:r>
    </w:p>
    <w:p>
      <w:pPr>
        <w:pStyle w:val="ListNumber"/>
      </w:pPr>
      <w:r>
        <w:t>产品放行：冻结产品卡、价格、交付、验收、退款。</w:t>
      </w:r>
    </w:p>
    <w:p>
      <w:pPr>
        <w:pStyle w:val="ListNumber"/>
      </w:pPr>
      <w:r>
        <w:t>主体放行：核验签约、收款、开票、交付、售后主体及关系。</w:t>
      </w:r>
    </w:p>
    <w:p>
      <w:pPr>
        <w:pStyle w:val="ListNumber"/>
      </w:pPr>
      <w:r>
        <w:t>合同放行：选对合同、附件齐全、重大条款显著提示。</w:t>
      </w:r>
    </w:p>
    <w:p>
      <w:pPr>
        <w:pStyle w:val="ListNumber"/>
      </w:pPr>
      <w:r>
        <w:t>上线放行：人员考核、素材授权、全链路彩排、负责人签字。</w:t>
      </w:r>
    </w:p>
    <w:p>
      <w:pPr>
        <w:pStyle w:val="Heading1"/>
      </w:pPr>
      <w:r>
        <w:rPr>
          <w:color w:val="00787A"/>
        </w:rPr>
        <w:t>三、签约归档</w:t>
      </w:r>
    </w:p>
    <w:p>
      <w:pPr>
        <w:pStyle w:val="ListBullet"/>
      </w:pPr>
      <w:r>
        <w:t>主体证照、授权代表证明、收款账户确认。</w:t>
      </w:r>
    </w:p>
    <w:p>
      <w:pPr>
        <w:pStyle w:val="ListBullet"/>
      </w:pPr>
      <w:r>
        <w:t>产品卡、交付清单、里程碑、验收表和退款规则。</w:t>
      </w:r>
    </w:p>
    <w:p>
      <w:pPr>
        <w:pStyle w:val="ListBullet"/>
      </w:pPr>
      <w:r>
        <w:t>风险揭示、隐私及肖像授权、额外承诺审批。</w:t>
      </w:r>
    </w:p>
    <w:p>
      <w:pPr>
        <w:pStyle w:val="ListBullet"/>
      </w:pPr>
      <w:r>
        <w:t>签署合同、付款、发票、交付、客诉、退款及结案证据。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V1.0｜2026-07-13｜未经批准不得对外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t>徐州创业粉项目｜合规与合同中心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libaba PuHuiTi 3.0" w:hAnsi="Alibaba PuHuiTi 3.0" w:eastAsia="Alibaba PuHuiTi 3.0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B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libaba PuHuiTi 3.0" w:hAnsi="Alibaba PuHuiTi 3.0" w:eastAsia="Alibaba PuHuiTi 3.0"/>
      <w:color w:val="0078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