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四类合作模式与五档产品待冻结"/>
    <w:p>
      <w:pPr>
        <w:pStyle w:val="Heading1"/>
      </w:pPr>
      <w:r>
        <w:rPr>
          <w:rFonts w:hint="eastAsia"/>
        </w:rPr>
        <w:t xml:space="preserve">四类合作模式与五档产品｜待冻结</w:t>
      </w:r>
    </w:p>
    <w:p>
      <w:pPr>
        <w:pStyle w:val="BlockText"/>
      </w:pPr>
      <w:r>
        <w:rPr>
          <w:rFonts w:hint="eastAsia"/>
        </w:rPr>
        <w:t xml:space="preserve">本文件只用于内部拍板。产品卡、成本表、合同、风险说明和交付负责人未齐全前，不得销售。</w:t>
      </w:r>
    </w:p>
    <w:bookmarkStart w:id="19" w:name="四类合作模式"/>
    <w:p>
      <w:pPr>
        <w:pStyle w:val="Heading2"/>
      </w:pPr>
      <w:r>
        <w:rPr>
          <w:rFonts w:hint="eastAsia"/>
        </w:rPr>
        <w:t xml:space="preserve">四类合作模式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模式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初步定义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公司可能收入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必须先讲清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就业协作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客户资金不足，以员工或项目协作人员身份参与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项目经营利润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劳动或合作关系、工资、分红条件、考核和退出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个人创业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客户自己经营，公司提供项目、方法和交付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服务费、资源费、项目分润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客户投入、账号货物归属、全部成本、分润和亏损承担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城市合作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合作方在当地组团队和获客，公司提供产品及交付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城市合作费、交付收入、利润分成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区域边界、品牌授权、招生权限、客户归属和退出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资金合作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客户出资，公司或项目团队负责运营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管理服务收入、项目利润分成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资金性质、账户监管、损失承担、信息披露和合规审查</w:t>
            </w:r>
          </w:p>
        </w:tc>
      </w:tr>
    </w:tbl>
    <w:bookmarkEnd w:id="19"/>
    <w:bookmarkStart w:id="20" w:name="五档产品当前只保留价格占位"/>
    <w:p>
      <w:pPr>
        <w:pStyle w:val="Heading2"/>
      </w:pPr>
      <w:r>
        <w:rPr>
          <w:rFonts w:hint="eastAsia"/>
        </w:rPr>
        <w:t xml:space="preserve">五档产品当前只保留价格占位</w:t>
      </w:r>
    </w:p>
    <w:p>
      <w:pPr>
        <w:pStyle w:val="FirstParagraph"/>
      </w:pPr>
      <w:r>
        <w:t xml:space="preserve">19,800 </w:t>
      </w:r>
      <w:r>
        <w:rPr>
          <w:rFonts w:hint="eastAsia"/>
        </w:rPr>
        <w:t xml:space="preserve">元、69,800</w:t>
      </w:r>
      <w:r>
        <w:t xml:space="preserve"> </w:t>
      </w:r>
      <w:r>
        <w:rPr>
          <w:rFonts w:hint="eastAsia"/>
        </w:rPr>
        <w:t xml:space="preserve">元、298,000</w:t>
      </w:r>
      <w:r>
        <w:t xml:space="preserve"> </w:t>
      </w:r>
      <w:r>
        <w:rPr>
          <w:rFonts w:hint="eastAsia"/>
        </w:rPr>
        <w:t xml:space="preserve">元、100</w:t>
      </w:r>
      <w:r>
        <w:t xml:space="preserve"> </w:t>
      </w:r>
      <w:r>
        <w:rPr>
          <w:rFonts w:hint="eastAsia"/>
        </w:rPr>
        <w:t xml:space="preserve">万元、200</w:t>
      </w:r>
      <w:r>
        <w:t xml:space="preserve"> </w:t>
      </w:r>
      <w:r>
        <w:rPr>
          <w:rFonts w:hint="eastAsia"/>
        </w:rPr>
        <w:t xml:space="preserve">万元目前只代表讨论中的价格层级，不代表已经形成五个可销售产品。</w:t>
      </w:r>
    </w:p>
    <w:p>
      <w:pPr>
        <w:pStyle w:val="BodyText"/>
      </w:pPr>
      <w:r>
        <w:rPr>
          <w:rFonts w:hint="eastAsia"/>
        </w:rPr>
        <w:t xml:space="preserve">每一档必须补齐：正式产品名、目标客户、付款性质、公司交付、客户投入、收入来源、全部成本、分配公式、结算周期、账号与数据归属、退款违约、退出机制、验收标准和负责人。</w:t>
      </w:r>
    </w:p>
    <w:bookmarkEnd w:id="20"/>
    <w:bookmarkStart w:id="21" w:name="放行规则"/>
    <w:p>
      <w:pPr>
        <w:pStyle w:val="Heading2"/>
      </w:pPr>
      <w:r>
        <w:rPr>
          <w:rFonts w:hint="eastAsia"/>
        </w:rPr>
        <w:t xml:space="preserve">放行规则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不能用同一份模糊权益表覆盖五档价格。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不适合的客户不得为了升单强行匹配高档产品。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涉及资金受托、保底、固定回报或投资属性时，先完成专业法律和财税审查。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所有收益展示必须同时说明统计周期、投入、成本、退款和适用条件。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客户推荐佣金只允许直接推荐，条件和支付规则书面确认，不做多层返佣。</w:t>
      </w:r>
    </w:p>
    <w:bookmarkEnd w:id="21"/>
    <w:bookmarkEnd w:id="22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2026-07-13T14:39:47Z</dcterms:created>
  <dcterms:modified xsi:type="dcterms:W3CDTF">2026-07-13T14:39:47Z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