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HarmonyOS Sans SC" w:hAnsi="HarmonyOS Sans SC" w:eastAsia="HarmonyOS Sans SC"/>
          <w:b/>
          <w:color w:val="008B8C"/>
          <w:sz w:val="24"/>
        </w:rPr>
        <w:t>徐州创业粉项目</w:t>
      </w:r>
    </w:p>
    <w:p>
      <w:pPr>
        <w:spacing w:after="100"/>
        <w:jc w:val="center"/>
      </w:pPr>
      <w:r>
        <w:rPr>
          <w:rFonts w:ascii="HarmonyOS Sans SC" w:hAnsi="HarmonyOS Sans SC" w:eastAsia="HarmonyOS Sans SC"/>
          <w:b/>
          <w:color w:val="008B8C"/>
          <w:sz w:val="44"/>
        </w:rPr>
        <w:t>企微与朋友圈承接管理员协作逻辑</w:t>
      </w:r>
    </w:p>
    <w:p>
      <w:pPr>
        <w:spacing w:after="240"/>
        <w:jc w:val="center"/>
      </w:pPr>
      <w:r>
        <w:rPr>
          <w:rFonts w:ascii="HarmonyOS Sans SC" w:hAnsi="HarmonyOS Sans SC" w:eastAsia="HarmonyOS Sans SC"/>
          <w:b w:val="0"/>
          <w:color w:val="008B8C"/>
          <w:sz w:val="19"/>
        </w:rPr>
        <w:t>内部讨论稿 V0.1｜2026-07-13｜未执行账号配置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使用边界：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本稿只把责任、系统和工作流讲清楚，不代表企业微信或微脉水印相机的管理员权限已经设置。手机号登录、验证码、超级管理员、财务权限和客户数据操作须由现有账号所有人现场确认。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名称确认：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口述中的“微麦水印相机”暂按“微脉水印相机”理解，正式下载前由创始人确认应用名称与开发者。</w:t>
            </w:r>
          </w:p>
        </w:tc>
      </w:tr>
    </w:tbl>
    <w:p>
      <w:pPr>
        <w:spacing w:after="20"/>
      </w:pP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一、先说结论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这个项目不是让创始人每天亲自发朋友圈、逐个追客资，而是由创始人负责方向和关键拍板，管理员负责把内容、账号、客户和执行团队组织成一套稳定系统。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/>
          <w:color w:val="008B8C"/>
          <w:sz w:val="21"/>
        </w:rPr>
        <w:t>完成管理员授权和项目口径确认后，创始人可以退出大部分日常执行，但仍需保留五项职责：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批准项目模式、收费、分润和交付边界。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提供或指定负责人提供真实后台数据、团队实操、客户考察和客户反馈。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批准对外使用的案例、价格、合同、退款和重要承诺。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处理重大客诉、资金、合同和跨部门资源问题。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5. 每周参加一次经营复盘，只看数据、风险和需要拍板的事项。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/>
          <w:sz w:val="21"/>
        </w:rPr>
        <w:t>除上述事项外，朋友圈计划、素材整理、账号分发、员工培训、客资分配、社群资料和每日跟进由管理员组织执行。</w:t>
      </w: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二、创始人与管理员的责任边界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304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事项</w:t>
            </w:r>
          </w:p>
        </w:tc>
        <w:tc>
          <w:tcPr>
            <w:tcW w:type="dxa" w:w="2381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创始人负责</w:t>
            </w:r>
          </w:p>
        </w:tc>
        <w:tc>
          <w:tcPr>
            <w:tcW w:type="dxa" w:w="3005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管理员负责</w:t>
            </w:r>
          </w:p>
        </w:tc>
        <w:tc>
          <w:tcPr>
            <w:tcW w:type="dxa" w:w="1757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完成标志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管理员授权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确认身份、权限范围并亲自授权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提交需要的权限清单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权限截图和复核人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项目口径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拍板项目、费用、分润、成本和风险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整理成主数据卡和员工版本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一个批准版本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案例素材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指定项目负责人提供真实原始材料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收集、编号、脱敏、审核和分发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四类素材齐全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朋友圈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批准内容方向和重大案例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制定周计划、生成文案、统一下发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每日发布记录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客资承接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只处理重大或关键客户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分配、首联、标签、邀约、复盘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客资状态不丢失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社群交付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批准课程和交付边界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建群、资料权限、群节奏和答疑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群档案完整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财务合同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批准收款主体、合同、发票和退款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只按批准口径传递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付款与合同可追溯</w:t>
            </w:r>
          </w:p>
        </w:tc>
      </w:tr>
      <w:tr>
        <w:tc>
          <w:tcPr>
            <w:tcW w:type="dxa" w:w="130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周复盘</w:t>
            </w:r>
          </w:p>
        </w:tc>
        <w:tc>
          <w:tcPr>
            <w:tcW w:type="dxa" w:w="238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参加并做决策</w:t>
            </w:r>
          </w:p>
        </w:tc>
        <w:tc>
          <w:tcPr>
            <w:tcW w:type="dxa" w:w="300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汇总数据、问题和待拍板项</w:t>
            </w:r>
          </w:p>
        </w:tc>
        <w:tc>
          <w:tcPr>
            <w:tcW w:type="dxa" w:w="1757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周决议有负责人</w:t>
            </w:r>
          </w:p>
        </w:tc>
      </w:tr>
    </w:tbl>
    <w:p>
      <w:pPr>
        <w:spacing w:after="20"/>
      </w:pP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三、整套系统的业务逻辑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1. 素材进入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每个创业项目只收四类核心素材：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每日后台业绩截图。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团队真实运营证明视频。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客户到场考察记录。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客户参与后取得结果的真实反馈。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管理员登记项目、日期、账号代号、数据口径、授权范围和审核人。成交额、平台结算额和净利润必须分开标注。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2. 内容生产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管理员只从已审核素材中生产朋友圈、客服沟通、社群内容和直播展示素材。未审核素材不进入内容库；多个账号可共用内容主题，但不要机械复制完全相同的广告文案。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3. 微脉水印相机分发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1814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角色</w:t>
            </w:r>
          </w:p>
        </w:tc>
        <w:tc>
          <w:tcPr>
            <w:tcW w:type="dxa" w:w="1701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数量建议</w:t>
            </w:r>
          </w:p>
        </w:tc>
        <w:tc>
          <w:tcPr>
            <w:tcW w:type="dxa" w:w="4932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权限</w:t>
            </w:r>
          </w:p>
        </w:tc>
      </w:tr>
      <w:tr>
        <w:tc>
          <w:tcPr>
            <w:tcW w:type="dxa" w:w="181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团队创建人</w:t>
            </w:r>
          </w:p>
        </w:tc>
        <w:tc>
          <w:tcPr>
            <w:tcW w:type="dxa" w:w="170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1</w:t>
            </w:r>
          </w:p>
        </w:tc>
        <w:tc>
          <w:tcPr>
            <w:tcW w:type="dxa" w:w="4932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账号所有权、成员和管理员授权</w:t>
            </w:r>
          </w:p>
        </w:tc>
      </w:tr>
      <w:tr>
        <w:tc>
          <w:tcPr>
            <w:tcW w:type="dxa" w:w="181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内容管理员</w:t>
            </w:r>
          </w:p>
        </w:tc>
        <w:tc>
          <w:tcPr>
            <w:tcW w:type="dxa" w:w="170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1-2</w:t>
            </w:r>
          </w:p>
        </w:tc>
        <w:tc>
          <w:tcPr>
            <w:tcW w:type="dxa" w:w="4932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上传素材、建立相册、发布周计划</w:t>
            </w:r>
          </w:p>
        </w:tc>
      </w:tr>
      <w:tr>
        <w:tc>
          <w:tcPr>
            <w:tcW w:type="dxa" w:w="181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审核管理员</w:t>
            </w:r>
          </w:p>
        </w:tc>
        <w:tc>
          <w:tcPr>
            <w:tcW w:type="dxa" w:w="170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1</w:t>
            </w:r>
          </w:p>
        </w:tc>
        <w:tc>
          <w:tcPr>
            <w:tcW w:type="dxa" w:w="4932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核对数据、授权和可发布范围</w:t>
            </w:r>
          </w:p>
        </w:tc>
      </w:tr>
      <w:tr>
        <w:tc>
          <w:tcPr>
            <w:tcW w:type="dxa" w:w="1814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团队成员</w:t>
            </w:r>
          </w:p>
        </w:tc>
        <w:tc>
          <w:tcPr>
            <w:tcW w:type="dxa" w:w="1701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按实际手机和账号</w:t>
            </w:r>
          </w:p>
        </w:tc>
        <w:tc>
          <w:tcPr>
            <w:tcW w:type="dxa" w:w="4932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获取批准素材并按计划发布</w:t>
            </w:r>
          </w:p>
        </w:tc>
      </w:tr>
    </w:tbl>
    <w:p>
      <w:pPr>
        <w:spacing w:after="20"/>
      </w:pP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/>
          <w:sz w:val="21"/>
        </w:rPr>
        <w:t>执行顺序：创始人确认应用 → 指定手机号创建团队 → 分配必要权限 → 录入成员 → 先用2台测试机验证 → 再分批加入其余手机。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控制点：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不要一次性把40多台手机全部加进来后再找问题。先完成手机、号码、微信、企微员工、使用人和内容责任人的一一对应。</w:t>
            </w:r>
          </w:p>
        </w:tc>
      </w:tr>
    </w:tbl>
    <w:p>
      <w:pPr>
        <w:spacing w:after="20"/>
      </w:pP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4. 40多台手机管理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必填字段</w:t>
            </w:r>
          </w:p>
        </w:tc>
        <w:tc>
          <w:tcPr>
            <w:tcW w:type="dxa" w:w="5613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18"/>
              </w:rPr>
              <w:t>示例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设备编号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PHONE-001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使用人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姓名/岗位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登录类型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个人微信/企业微信/抖音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对应账号代号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WX-001 / WECOM-001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微脉团队状态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未加入/已加入/已测试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朋友圈责任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发布/审核/备用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客资责任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vAlign w:val="center"/>
            <w:shd w:fill="FFFFFF" w:val="clea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首联/邀约/社群/仅内容</w:t>
            </w:r>
          </w:p>
        </w:tc>
      </w:tr>
      <w:tr>
        <w:tc>
          <w:tcPr>
            <w:tcW w:type="dxa" w:w="2835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当前状态</w:t>
            </w:r>
          </w:p>
        </w:tc>
        <w:tc>
          <w:tcPr>
            <w:tcW w:type="dxa" w:w="5613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  <w:vAlign w:val="center"/>
          </w:tcPr>
          <w:p>
            <w:pPr>
              <w:spacing w:after="0" w:line="264" w:lineRule="auto"/>
            </w:pPr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正常/待验证/停用</w:t>
            </w:r>
          </w:p>
        </w:tc>
      </w:tr>
    </w:tbl>
    <w:p>
      <w:pPr>
        <w:spacing w:after="20"/>
      </w:pP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设备按岗位分组：主账号与备份、内容发布、客资承接、社群服务、直播互动和备用设备。具体数量等设备盘点后再定。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5. 直播客资承接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完整链路：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直播产生咨询 → 渠道码或来源标识 → 客户添加企微 → 自动欢迎和人工首响 → 标记项目与需求 → 电话或文字沟通 → 查看朋友圈 → 进入对应社群 → 发送批准资料 → 预约下一步 → 每日复盘。</w:t>
            </w:r>
          </w:p>
        </w:tc>
      </w:tr>
    </w:tbl>
    <w:p>
      <w:pPr>
        <w:spacing w:after="20"/>
      </w:pP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每条客资至少保留：来源、项目、进入时间、负责人、首次联系时间、客户主诉求、下一步、预约时间和当前状态。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6. 朋友圈与社群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朋友圈不是单独“养号”，而是直播开始前就建立连续、真实的内容记录。内容包括公司团队、项目原理、后台数据、运营现场、客户考察、授权反馈、成本风险和不适合人群。社群负责教育和交付，不使用虚假身份、虚构结果或冒充客户的分享。</w:t>
      </w: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四、今日紧急动作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A. 管理员授权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现有企业微信创始人登录管理端。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确认拟设管理员的真实企业成员身份。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只开放客户联系、客户群、内容和文档所需权限。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超级管理员、财务、收款、发票和删除数据权限单独保留。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5. 授权后由第二人复核并保存权限截图。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B. 微脉水印相机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确认正确应用名称和开发者。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用指定手机号注册或登录。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创建徐州创业粉项目内容团队。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设置内容管理员和审核管理员。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5. 先加入2台测试机并完成上传、查看、下载和发布测试。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6. 测试通过后再按设备清单分批加入其余账号。</w:t>
      </w:r>
    </w:p>
    <w:p>
      <w:pPr>
        <w:keepNext/>
        <w:spacing w:before="120" w:after="100"/>
      </w:pPr>
      <w:r>
        <w:rPr>
          <w:rFonts w:ascii="HarmonyOS Sans SC" w:hAnsi="HarmonyOS Sans SC" w:eastAsia="HarmonyOS Sans SC"/>
          <w:b/>
          <w:color w:val="008B8C"/>
          <w:sz w:val="24"/>
        </w:rPr>
        <w:t>C. 谭永光20多条客资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口述状态：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谭永光账号今日已有20多条客资，具体数量以后台为准。</w:t>
            </w:r>
          </w:p>
        </w:tc>
      </w:tr>
    </w:tbl>
    <w:p>
      <w:pPr>
        <w:spacing w:after="20"/>
      </w:pP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当日完成客资去重和负责人确认。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当日完成首次联系尝试，不得只看不处理。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按项目、需求和下一步进行标签。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未接通、已联系、已预约、待资料、暂缓和停止联系分别登记。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5. 下班前汇报总数、有效联系数、预约数、未处理数和次日动作。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首联内部指令：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谭永光，请先核对今天新增客资的准确数量和来源，完成去重后逐条首联。每条记录填写首次联系时间、客户问题、下一步和预约时间。下班前汇报新增总数、已联系、有效沟通、已预约、未接通、暂缓和停止联系分别多少条，不要只报“已跟进”。</w:t>
            </w:r>
          </w:p>
        </w:tc>
      </w:tr>
    </w:tbl>
    <w:p>
      <w:pPr>
        <w:spacing w:after="20"/>
      </w:pP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五、创始人后续还需要做什么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日常不需要创始人亲自完成：发朋友圈、上传日常素材、逐条打标签、普通首联、建群和发送常规教学资料。</w:t>
      </w:r>
    </w:p>
    <w:p>
      <w:pPr>
        <w:keepNext w:val="0"/>
        <w:spacing w:after="100" w:line="300" w:lineRule="auto"/>
      </w:pPr>
      <w:r>
        <w:rPr>
          <w:rFonts w:ascii="HarmonyOS Sans SC" w:hAnsi="HarmonyOS Sans SC" w:eastAsia="HarmonyOS Sans SC"/>
          <w:b w:val="0"/>
          <w:sz w:val="21"/>
        </w:rPr>
        <w:t>创始人仍需完成：第一次管理员授权；确认项目和账号归属；确认费用、分润、交付、合同和退款；指定各项目数据负责人；每周批准真实案例素材；重大客诉、资金和合同事项拍板；每周经营会做继续、暂停或调整决定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008B8C" w:val="clear"/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</w:tcPr>
          <w:p>
            <w:pPr>
              <w:spacing w:after="0"/>
            </w:pP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准确答案：</w:t>
            </w:r>
            <w:r>
              <w:rPr>
                <w:rFonts w:ascii="HarmonyOS Sans SC" w:hAnsi="HarmonyOS Sans SC" w:eastAsia="HarmonyOS Sans SC"/>
                <w:b/>
                <w:color w:val="FFFFFF"/>
                <w:sz w:val="20"/>
              </w:rPr>
              <w:t>不是“后面完全没你的事”，而是创始人从日常执行退出，保留授权、事实、资金、合同和重大决策五类责任。</w:t>
            </w:r>
          </w:p>
        </w:tc>
      </w:tr>
    </w:tbl>
    <w:p>
      <w:pPr>
        <w:spacing w:after="20"/>
      </w:pPr>
    </w:p>
    <w:p>
      <w:pPr>
        <w:keepNext/>
        <w:spacing w:before="200" w:after="100"/>
      </w:pPr>
      <w:r>
        <w:rPr>
          <w:rFonts w:ascii="HarmonyOS Sans SC" w:hAnsi="HarmonyOS Sans SC" w:eastAsia="HarmonyOS Sans SC"/>
          <w:b/>
          <w:color w:val="008B8C"/>
          <w:sz w:val="30"/>
        </w:rPr>
        <w:t>六、需要创始人审阅的待确认项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1. 拟设管理员姓名及企业微信成员身份。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2. 管理员需要哪些权限，哪些明确不给。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3. 微脉水印相机的正确应用名称和团队创建手机号。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4. 40多台手机的实际数量、当前使用人和账号状态。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5. 谭永光今日新增客资的后台准确数量。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6. 首联与邀约的负责人、完成时限和日报接收人。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7. 朋友圈发布账号总数及个人微信、企业微信的分工。</w:t>
      </w:r>
    </w:p>
    <w:p>
      <w:pPr>
        <w:spacing w:after="60" w:line="283" w:lineRule="auto"/>
        <w:ind w:left="397" w:hanging="255"/>
      </w:pPr>
      <w:r>
        <w:rPr>
          <w:rFonts w:ascii="HarmonyOS Sans SC" w:hAnsi="HarmonyOS Sans SC" w:eastAsia="HarmonyOS Sans SC"/>
          <w:b w:val="0"/>
          <w:sz w:val="20"/>
        </w:rPr>
        <w:t>8. 每个创业项目的数据和案例素材负责人。</w:t>
      </w:r>
    </w:p>
    <w:p>
      <w:pPr>
        <w:keepNext w:val="0"/>
        <w:spacing w:after="0" w:line="300" w:lineRule="auto"/>
        <w:jc w:val="center"/>
      </w:pPr>
      <w:r>
        <w:rPr>
          <w:rFonts w:ascii="HarmonyOS Sans SC" w:hAnsi="HarmonyOS Sans SC" w:eastAsia="HarmonyOS Sans SC"/>
          <w:b/>
          <w:color w:val="008B8C"/>
          <w:sz w:val="21"/>
        </w:rPr>
        <w:t>内部提示：确认本稿后，再拆成管理员操作清单、手机账号盘点表、朋友圈周排期和客资日报。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64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HarmonyOS Sans SC" w:hAnsi="HarmonyOS Sans SC" w:eastAsia="HarmonyOS Sans SC"/>
        <w:b w:val="0"/>
        <w:color w:val="6B7280"/>
        <w:sz w:val="17"/>
      </w:rPr>
      <w:t>徐州创业粉项目｜内部讨论稿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armonyOS Sans SC" w:hAnsi="HarmonyOS Sans SC" w:eastAsia="HarmonyOS Sans SC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