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keepLines/>
      </w:pPr>
      <w:r>
        <w:rPr>
          <w:color w:val="00787A"/>
        </w:rPr>
        <w:t>微信沟通话术</w:t>
      </w:r>
    </w:p>
    <w:p>
      <w:pPr>
        <w:keepLines/>
        <w:spacing w:after="240"/>
      </w:pPr>
      <w:r>
        <w:rPr>
          <w:color w:val="8A938F"/>
          <w:sz w:val="19"/>
        </w:rPr>
        <w:t>团队可直接照读、照做、照表登记</w:t>
      </w:r>
    </w:p>
    <w:p>
      <w:pPr>
        <w:pStyle w:val="Heading1"/>
        <w:keepNext/>
        <w:keepLines/>
      </w:pPr>
      <w:r>
        <w:rPr>
          <w:color w:val="00787A"/>
        </w:rPr>
        <w:t>一、加好友后的标准三连发</w:t>
      </w:r>
    </w:p>
    <w:p>
      <w:pPr>
        <w:keepLines/>
      </w:pPr>
      <w:r>
        <w:t>不要刚加好友就发十几个文件或连续广告。</w:t>
      </w:r>
    </w:p>
    <w:p>
      <w:pPr>
        <w:pStyle w:val="Heading3"/>
        <w:keepNext/>
        <w:keepLines/>
      </w:pPr>
      <w:r>
        <w:rPr>
          <w:color w:val="00787A"/>
        </w:rPr>
        <w:t>第 1 条：身份与来源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你好，我是刚才和你联系的徐州创业粉项目顾问小×。我备注一下：你是从××直播间来的，主要想了解××，对吗？</w:t>
      </w:r>
    </w:p>
    <w:p>
      <w:pPr>
        <w:pStyle w:val="Heading3"/>
        <w:keepNext/>
        <w:keepLines/>
      </w:pPr>
      <w:r>
        <w:rPr>
          <w:color w:val="00787A"/>
        </w:rPr>
        <w:t>第 2 条：项目边界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我们的流程是先讲清货源、平台、投入、利润来源和风险，再做适配，不会一加微信就让你定高价项目。</w:t>
      </w:r>
    </w:p>
    <w:p>
      <w:pPr>
        <w:pStyle w:val="Heading3"/>
        <w:keepNext/>
        <w:keepLines/>
      </w:pPr>
      <w:r>
        <w:rPr>
          <w:color w:val="00787A"/>
        </w:rPr>
        <w:t>第 3 条：给一个小任务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我先发你一张项目判断清单。你看完后告诉我最关心哪项：1货源、2平台、3投入、4利润、5风险。我再针对性发，不刷屏。</w:t>
      </w:r>
    </w:p>
    <w:p>
      <w:pPr>
        <w:pStyle w:val="Heading1"/>
        <w:keepNext/>
        <w:keepLines/>
      </w:pPr>
      <w:r>
        <w:rPr>
          <w:color w:val="00787A"/>
        </w:rPr>
        <w:t>二、微信需求诊断</w:t>
      </w:r>
    </w:p>
    <w:p>
      <w:pPr>
        <w:pStyle w:val="Heading3"/>
        <w:keepNext/>
        <w:keepLines/>
      </w:pPr>
      <w:r>
        <w:rPr>
          <w:color w:val="00787A"/>
        </w:rPr>
        <w:t>文字版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为了不乱推荐，我问你 4 个简单问题：目前职业、想做副业还是主业、每周可投入时间、最担心什么。你可以分开发，也可以直接发一段语音。</w:t>
      </w:r>
    </w:p>
    <w:p>
      <w:pPr>
        <w:pStyle w:val="Heading3"/>
        <w:keepNext/>
        <w:keepLines/>
      </w:pPr>
      <w:r>
        <w:rPr>
          <w:color w:val="00787A"/>
        </w:rPr>
        <w:t>客户发完后的复述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收到。我把你的情况总结为：××。现阶段建议你先××，暂时不要××。我接下来给你发××资料，你重点看××部分。</w:t>
      </w:r>
    </w:p>
    <w:p>
      <w:pPr>
        <w:pStyle w:val="Heading1"/>
        <w:keepNext/>
        <w:keepLines/>
      </w:pPr>
      <w:r>
        <w:rPr>
          <w:color w:val="00787A"/>
        </w:rPr>
        <w:t>三、资料发送话术</w:t>
      </w:r>
    </w:p>
    <w:p>
      <w:pPr>
        <w:pStyle w:val="Heading3"/>
        <w:keepNext/>
        <w:keepLines/>
      </w:pPr>
      <w:r>
        <w:rPr>
          <w:color w:val="00787A"/>
        </w:rPr>
        <w:t>发送认知课安排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这是认知课安排。你重点关注三件事：这个项目的钱从哪里来、完整成本有哪些、什么条件的人不适合。听完把疑问记下来，我们再一起核对。</w:t>
      </w:r>
    </w:p>
    <w:p>
      <w:pPr>
        <w:pStyle w:val="Heading3"/>
        <w:keepNext/>
        <w:keepLines/>
      </w:pPr>
      <w:r>
        <w:rPr>
          <w:color w:val="00787A"/>
        </w:rPr>
        <w:t>发送项目介绍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这份材料先帮助你理解业务逻辑，不代表收益承诺。案例中的主体、周期、投入和成本条件不同，不能直接套到个人身上。</w:t>
      </w:r>
    </w:p>
    <w:p>
      <w:pPr>
        <w:pStyle w:val="Heading3"/>
        <w:keepNext/>
        <w:keepLines/>
      </w:pPr>
      <w:r>
        <w:rPr>
          <w:color w:val="00787A"/>
        </w:rPr>
        <w:t>发送案例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这是经过审核、在授权范围内使用的阶段案例。你重点看过程和条件，不只看结果数字。需要的话我可以把对应成本口径也给你讲清楚。</w:t>
      </w:r>
    </w:p>
    <w:p>
      <w:pPr>
        <w:pStyle w:val="Heading3"/>
        <w:keepNext/>
        <w:keepLines/>
      </w:pPr>
      <w:r>
        <w:rPr>
          <w:color w:val="00787A"/>
        </w:rPr>
        <w:t>发送测算表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测算表里的数字是用于推演，不是结果保证。你可以把自己的时间、预算和可承担风险填进去，我们再看是否成立。</w:t>
      </w:r>
    </w:p>
    <w:p>
      <w:pPr>
        <w:pStyle w:val="Heading1"/>
        <w:keepNext/>
        <w:keepLines/>
      </w:pPr>
      <w:r>
        <w:rPr>
          <w:color w:val="00787A"/>
        </w:rPr>
        <w:t>四、微信跟进节奏</w:t>
      </w:r>
    </w:p>
    <w:p>
      <w:pPr>
        <w:pStyle w:val="Heading3"/>
        <w:keepNext/>
        <w:keepLines/>
      </w:pPr>
      <w:r>
        <w:rPr>
          <w:color w:val="00787A"/>
        </w:rPr>
        <w:t>D0：加好友当天</w:t>
      </w:r>
    </w:p>
    <w:p>
      <w:pPr>
        <w:keepLines/>
      </w:pPr>
      <w:r>
        <w:t>完成欢迎、四问、标签、资料和下一次沟通时间。</w:t>
      </w:r>
    </w:p>
    <w:p>
      <w:pPr>
        <w:pStyle w:val="Heading3"/>
        <w:keepNext/>
        <w:keepLines/>
      </w:pPr>
      <w:r>
        <w:rPr>
          <w:color w:val="00787A"/>
        </w:rPr>
        <w:t>D1：检查理解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昨天的资料你不用全部看完。我只想确认：货源、平台、投入、利润、风险这五项里，哪一项你还没看明白？</w:t>
      </w:r>
    </w:p>
    <w:p>
      <w:pPr>
        <w:pStyle w:val="Heading3"/>
        <w:keepNext/>
        <w:keepLines/>
      </w:pPr>
      <w:r>
        <w:rPr>
          <w:color w:val="00787A"/>
        </w:rPr>
        <w:t>D3：补充价值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根据你说的××情况，我补一条判断：××。这也是为什么我暂时没有直接给你推荐具体档位。你看这个逻辑是否符合你的实际？</w:t>
      </w:r>
    </w:p>
    <w:p>
      <w:pPr>
        <w:pStyle w:val="Heading3"/>
        <w:keepNext/>
        <w:keepLines/>
      </w:pPr>
      <w:r>
        <w:rPr>
          <w:color w:val="00787A"/>
        </w:rPr>
        <w:t>D5—D7：邀请下一步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如果你还想继续判断，我们可以约 10 分钟做一次适配梳理；如果暂时不考虑，我就先标记暂缓。周三 19:00 和周四 15:00，你哪个时间方便？</w:t>
      </w:r>
    </w:p>
    <w:p>
      <w:pPr>
        <w:pStyle w:val="Heading3"/>
        <w:keepNext/>
        <w:keepLines/>
      </w:pPr>
      <w:r>
        <w:rPr>
          <w:color w:val="00787A"/>
        </w:rPr>
        <w:t>长期沉默客户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最近我们更新了一份“创业项目前先算清的 7 笔账”。你之前关心××，如果还需要我就发你；不需要回复也没关系。</w:t>
      </w:r>
    </w:p>
    <w:p>
      <w:pPr>
        <w:pStyle w:val="Heading1"/>
        <w:keepNext/>
        <w:keepLines/>
      </w:pPr>
      <w:r>
        <w:rPr>
          <w:color w:val="00787A"/>
        </w:rPr>
        <w:t>五、训练营邀约话术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认知课解决的是“看懂”，训练营解决的是“亲手做一次并完成适配诊断”。是否参加，要看你的时间、基础和预算，不是听完课就必须升级。你如果愿意，我先把课程内容、费用包含项、不包含项、退改规则和不适合人群发你，再决定要不要报名。</w:t>
      </w:r>
    </w:p>
    <w:p>
      <w:pPr>
        <w:pStyle w:val="Heading3"/>
        <w:keepNext/>
        <w:keepLines/>
      </w:pPr>
      <w:r>
        <w:rPr>
          <w:color w:val="00787A"/>
        </w:rPr>
        <w:t>对方表示有兴趣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好，我先确认三件事：你能否完整参加、这笔费用是否在可承受范围内、你希望三天后带走什么具体结果。确认清楚后再报名，会比冲动付款更负责。</w:t>
      </w:r>
    </w:p>
    <w:p>
      <w:pPr>
        <w:pStyle w:val="Heading1"/>
        <w:keepNext/>
        <w:keepLines/>
      </w:pPr>
      <w:r>
        <w:rPr>
          <w:color w:val="00787A"/>
        </w:rPr>
        <w:t>六、常见异议</w:t>
      </w:r>
    </w:p>
    <w:p>
      <w:pPr>
        <w:pStyle w:val="Heading3"/>
        <w:keepNext/>
        <w:keepLines/>
      </w:pPr>
      <w:r>
        <w:rPr>
          <w:color w:val="00787A"/>
        </w:rPr>
        <w:t>“朋友圈里别人看起来赚得很多。”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朋友圈展示的是特定案例，不代表普遍结果。判断时要同时看周期、投入、成本、退款、团队配置和执行条件。只看一张流水图很容易误判。</w:t>
      </w:r>
    </w:p>
    <w:p>
      <w:pPr>
        <w:pStyle w:val="Heading3"/>
        <w:keepNext/>
        <w:keepLines/>
      </w:pPr>
      <w:r>
        <w:rPr>
          <w:color w:val="00787A"/>
        </w:rPr>
        <w:t>“为什么不直接给我推荐最赚钱的？”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因为不存在脱离个人条件的“最赚钱”。适合你的项目，要同时匹配时间、资金、能力、资源和风险承受力。我们宁愿先判断，也不靠一个项目名促成冲动决定。</w:t>
      </w:r>
    </w:p>
    <w:p>
      <w:pPr>
        <w:pStyle w:val="Heading3"/>
        <w:keepNext/>
        <w:keepLines/>
      </w:pPr>
      <w:r>
        <w:rPr>
          <w:color w:val="00787A"/>
        </w:rPr>
        <w:t>“价格太贵。”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先不要急着判断贵不贵。我们先把你购买的具体内容、交付人、周期、额外成本、验收和退改放在一起看。如果内容与目标不匹配，再低也不划算；如果超出承受范围，也不建议勉强。</w:t>
      </w:r>
    </w:p>
    <w:p>
      <w:pPr>
        <w:pStyle w:val="Heading3"/>
        <w:keepNext/>
        <w:keepLines/>
      </w:pPr>
      <w:r>
        <w:rPr>
          <w:color w:val="00787A"/>
        </w:rPr>
        <w:t>“再便宜一点我就报。”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价格只能按已批准规则执行，我不能私自承诺优惠。比价格更重要的是先确认适配和交付。如果只是价格问题，我可以记录并反馈；如果项目本身没看懂，先别付款。</w:t>
      </w:r>
    </w:p>
    <w:p>
      <w:pPr>
        <w:pStyle w:val="Heading3"/>
        <w:keepNext/>
        <w:keepLines/>
      </w:pPr>
      <w:r>
        <w:rPr>
          <w:color w:val="00787A"/>
        </w:rPr>
        <w:t>“我怕交钱后没人管。”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这个顾虑要靠交付清单解决，不靠口头保证。正式决定前请看清负责人、服务周期、交付节点、沟通渠道、验收与售后规则；任何一项没有写清，都可以先不决定。</w:t>
      </w:r>
    </w:p>
    <w:p>
      <w:pPr>
        <w:pStyle w:val="Heading1"/>
        <w:keepNext/>
        <w:keepLines/>
      </w:pPr>
      <w:r>
        <w:rPr>
          <w:color w:val="00787A"/>
        </w:rPr>
        <w:t>七、成交前确认</w:t>
      </w:r>
    </w:p>
    <w:p>
      <w:pPr>
        <w:keepLines/>
      </w:pPr>
      <w:r>
        <w:t>客户付款前，微信必须再次确认：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请你最后核对：购买内容、费用、付款主体、交付周期、额外成本、退改规则和风险说明。我们没有承诺保本、固定收益或回本时间。以上都看清并认可后，再按官方方式付款，不向个人私下转账。</w:t>
      </w:r>
    </w:p>
    <w:p>
      <w:pPr>
        <w:pStyle w:val="Heading1"/>
        <w:keepNext/>
        <w:keepLines/>
      </w:pPr>
      <w:r>
        <w:rPr>
          <w:color w:val="00787A"/>
        </w:rPr>
        <w:t>八、暂缓与停止联系</w:t>
      </w:r>
    </w:p>
    <w:p>
      <w:pPr>
        <w:pStyle w:val="Heading3"/>
        <w:keepNext/>
        <w:keepLines/>
      </w:pPr>
      <w:r>
        <w:rPr>
          <w:color w:val="00787A"/>
        </w:rPr>
        <w:t>暂缓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明白，我先标记暂缓，不催你。等你的时间/预算/家人意见条件变化后，直接找我重新评估即可。</w:t>
      </w:r>
    </w:p>
    <w:p>
      <w:pPr>
        <w:pStyle w:val="Heading3"/>
        <w:keepNext/>
        <w:keepLines/>
      </w:pPr>
      <w:r>
        <w:rPr>
          <w:color w:val="00787A"/>
        </w:rPr>
        <w:t>明确拒绝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收到，感谢你直接说明。我这边标记停止联系，不再发送营销信息。以后你主动需要资料时再找我。</w:t>
      </w:r>
    </w:p>
    <w:p>
      <w:r>
        <w:br w:type="page"/>
      </w:r>
    </w:p>
    <w:p>
      <w:pPr>
        <w:pStyle w:val="Heading1"/>
        <w:keepNext/>
      </w:pPr>
      <w:r>
        <w:t>九、推演补充话术与保护机制</w:t>
      </w:r>
    </w:p>
    <w:p>
      <w:pPr>
        <w:pStyle w:val="Heading2"/>
        <w:keepNext/>
      </w:pPr>
      <w:r>
        <w:t>1. 加好友后的隐私与联系许可</w:t>
      </w:r>
    </w:p>
    <w:p>
      <w:pPr>
        <w:keepLines/>
      </w:pPr>
      <w:r>
        <w:t>我只记录课程安排和适配判断需要的信息，你可以不提供。后续我可以按你同意的方式和时间联系；如果不再需要，回复“停止”，我会立即停止营销消息。</w:t>
      </w:r>
    </w:p>
    <w:p>
      <w:pPr>
        <w:pStyle w:val="Heading2"/>
        <w:keepNext/>
      </w:pPr>
      <w:r>
        <w:t>2. 信任核验四件套</w:t>
      </w:r>
    </w:p>
    <w:p>
      <w:pPr>
        <w:keepLines/>
      </w:pPr>
      <w:r>
        <w:t>这是供你核验的四项资料：①经营或签约主体信息；②合同主体与官方收款主体；③交付清单和退改摘要；④案例的主体、周期、数据口径与授权说明。请先自行核验，任何一项对不上都先不要付款。</w:t>
      </w:r>
    </w:p>
    <w:p>
      <w:pPr>
        <w:pStyle w:val="Heading2"/>
        <w:keepNext/>
      </w:pPr>
      <w:r>
        <w:t>3. 付款前加强确认</w:t>
      </w:r>
    </w:p>
    <w:p>
      <w:pPr>
        <w:keepLines/>
      </w:pPr>
      <w:r>
        <w:t>付款前请确认合同主体、收款主体和开票主体是否一致，索要订单或发票。不要向个人账户或私人收款码转账。优惠、赠品、退款和交付都以书面批准版本为准。</w:t>
      </w:r>
    </w:p>
    <w:p>
      <w:pPr>
        <w:pStyle w:val="Heading2"/>
        <w:keepNext/>
      </w:pPr>
      <w:r>
        <w:t>4. 24小时冷静复核</w:t>
      </w:r>
    </w:p>
    <w:p>
      <w:pPr>
        <w:keepLines/>
      </w:pPr>
      <w:r>
        <w:t>涉及大额后端合作，今天先不付款。请至少用24小时核对合同、完整成本、交付节点、退出机制和家庭意见。明天我们只做信息复核，不用倒计时或名额催你决定。</w:t>
      </w:r>
    </w:p>
    <w:p>
      <w:pPr>
        <w:pStyle w:val="Heading2"/>
        <w:keepNext/>
      </w:pPr>
      <w:r>
        <w:t>5. 沉默客户频控</w:t>
      </w:r>
    </w:p>
    <w:p>
      <w:pPr>
        <w:keepLines/>
      </w:pPr>
      <w:r>
        <w:t>你此前同意接收项目判断资料。如果不再需要，回复“停止”，我们立即停止。未获得继续沟通同意的沉默客户，不重新发送营销内容；转到微信后，原平台停止跟进。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Hiragino Sans GB" w:hAnsi="Hiragino Sans GB" w:eastAsia="Hiragino Sans GB"/>
        <w:color w:val="8C8C8C"/>
        <w:sz w:val="16"/>
      </w:rPr>
      <w:t>内部执行资料  |  不承诺收益，不夸大案例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Hiragino Sans GB" w:hAnsi="Hiragino Sans GB" w:eastAsia="Hiragino Sans GB"/>
        <w:color w:val="828282"/>
        <w:sz w:val="17"/>
      </w:rPr>
      <w:t>徐州创业粉项目  |  客资承接执行资料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24" w:lineRule="auto"/>
    </w:pPr>
    <w:rPr>
      <w:rFonts w:ascii="Hiragino Sans GB" w:hAnsi="Hiragino Sans GB" w:eastAsia="Hiragino Sans GB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00787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008B8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100" w:line="240" w:lineRule="auto" w:before="200"/>
      <w:contextualSpacing/>
    </w:pPr>
    <w:rPr>
      <w:rFonts w:asciiTheme="majorHAnsi" w:eastAsiaTheme="majorEastAsia" w:hAnsiTheme="majorHAnsi" w:cstheme="majorBidi" w:ascii="Hiragino Sans GB" w:hAnsi="Hiragino Sans GB" w:eastAsia="Hiragino Sans GB"/>
      <w:b/>
      <w:color w:val="00787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