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keepLines/>
      </w:pPr>
      <w:r>
        <w:rPr>
          <w:color w:val="00787A"/>
        </w:rPr>
        <w:t>徐州创业粉项目｜客资承接使用说明</w:t>
      </w:r>
    </w:p>
    <w:p>
      <w:pPr>
        <w:keepLines/>
        <w:spacing w:after="240"/>
      </w:pPr>
      <w:r>
        <w:rPr>
          <w:color w:val="8A938F"/>
          <w:sz w:val="19"/>
        </w:rPr>
        <w:t>团队可直接照读、照做、照表登记</w:t>
      </w:r>
    </w:p>
    <w:p>
      <w:pPr>
        <w:keepLines/>
      </w:pPr>
      <w:r>
        <w:t>版本：V1.0｜适用对象：私信客服、电话客服、微信承接人员、朋友圈运营人员</w:t>
      </w:r>
    </w:p>
    <w:p>
      <w:pPr>
        <w:pStyle w:val="Heading1"/>
        <w:keepNext/>
        <w:keepLines/>
      </w:pPr>
      <w:r>
        <w:rPr>
          <w:color w:val="00787A"/>
        </w:rPr>
        <w:t>一、统一项目口径</w:t>
      </w:r>
    </w:p>
    <w:p>
      <w:pPr>
        <w:keepLines/>
      </w:pPr>
      <w:r>
        <w:t>徐州创业粉项目不是“交钱就能赚钱”的项目，也不是只卖某一个电商课程。对外统一表述为：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我们先通过 AI 电商创业认知课，帮助你把不同创业项目的货源、平台、投入、利润来源和风险看明白；再结合你的时间、资金、经验和执行条件，判断你适合继续学习、参加训练营，还是暂时不建议进入。</w:t>
      </w:r>
    </w:p>
    <w:p>
      <w:pPr>
        <w:keepLines/>
      </w:pPr>
      <w:r>
        <w:t>前端客户承接的目标不是在第一次沟通中卖高价项目，而是完成四件事：</w:t>
      </w:r>
    </w:p>
    <w:p>
      <w:pPr>
        <w:pStyle w:val="ListNumber"/>
        <w:keepLines/>
      </w:pPr>
      <w:r>
        <w:t>核实客户来源与订单；</w:t>
      </w:r>
    </w:p>
    <w:p>
      <w:pPr>
        <w:pStyle w:val="ListNumber"/>
        <w:keepLines/>
      </w:pPr>
      <w:r>
        <w:t>听懂客户真正想解决的问题；</w:t>
      </w:r>
    </w:p>
    <w:p>
      <w:pPr>
        <w:pStyle w:val="ListNumber"/>
        <w:keepLines/>
      </w:pPr>
      <w:r>
        <w:t>完成基础画像和项目适配初筛；</w:t>
      </w:r>
    </w:p>
    <w:p>
      <w:pPr>
        <w:pStyle w:val="ListNumber"/>
        <w:keepLines/>
      </w:pPr>
      <w:r>
        <w:t>约定一个明确、可追踪的下一步。</w:t>
      </w:r>
    </w:p>
    <w:p>
      <w:pPr>
        <w:pStyle w:val="Heading1"/>
        <w:keepNext/>
        <w:keepLines/>
      </w:pPr>
      <w:r>
        <w:rPr>
          <w:color w:val="00787A"/>
        </w:rPr>
        <w:t>二、四份材料怎么配合使用</w:t>
      </w:r>
    </w:p>
    <w:p>
      <w:pPr>
        <w:pStyle w:val="ListNumber"/>
        <w:keepLines/>
      </w:pPr>
      <w:r>
        <w:t>《私信沟通话术》Word文档：直播间、短视频评论后私信，目标是取得联系许可并约电话/加微信。</w:t>
      </w:r>
    </w:p>
    <w:p>
      <w:pPr>
        <w:pStyle w:val="ListNumber"/>
        <w:keepLines/>
      </w:pPr>
      <w:r>
        <w:t>《电话沟通话术》Word文档：3—8 分钟首联，目标是完成需求初筛并约定下一步。</w:t>
      </w:r>
    </w:p>
    <w:p>
      <w:pPr>
        <w:pStyle w:val="ListNumber"/>
        <w:keepLines/>
      </w:pPr>
      <w:r>
        <w:t>《微信沟通话术》Word文档：加好友后的欢迎、诊断、资料发送、跟进、邀约与异议处理。</w:t>
      </w:r>
    </w:p>
    <w:p>
      <w:pPr>
        <w:pStyle w:val="ListNumber"/>
        <w:keepLines/>
      </w:pPr>
      <w:r>
        <w:t>《朋友圈经营模板》Word文档：建立持续信任，不靠刷屏、夸大收益或虚假见证促单。</w:t>
      </w:r>
    </w:p>
    <w:p>
      <w:pPr>
        <w:pStyle w:val="Heading1"/>
        <w:keepNext/>
        <w:keepLines/>
      </w:pPr>
      <w:r>
        <w:rPr>
          <w:color w:val="00787A"/>
        </w:rPr>
        <w:t>三、每条客资必须记录</w:t>
      </w:r>
    </w:p>
    <w:p>
      <w:pPr>
        <w:pStyle w:val="ListBullet"/>
        <w:keepLines/>
      </w:pPr>
      <w:r>
        <w:t>来源平台、账号、直播场次或内容入口；</w:t>
      </w:r>
    </w:p>
    <w:p>
      <w:pPr>
        <w:pStyle w:val="ListBullet"/>
        <w:keepLines/>
      </w:pPr>
      <w:r>
        <w:t>是否购买认知课、订单状态；</w:t>
      </w:r>
    </w:p>
    <w:p>
      <w:pPr>
        <w:pStyle w:val="ListBullet"/>
        <w:keepLines/>
      </w:pPr>
      <w:r>
        <w:t>首次响应时间、首次通话时间；</w:t>
      </w:r>
    </w:p>
    <w:p>
      <w:pPr>
        <w:pStyle w:val="ListBullet"/>
        <w:keepLines/>
      </w:pPr>
      <w:r>
        <w:t>所在城市、年龄段、当前职业；</w:t>
      </w:r>
    </w:p>
    <w:p>
      <w:pPr>
        <w:pStyle w:val="ListBullet"/>
        <w:keepLines/>
      </w:pPr>
      <w:r>
        <w:t>创业目的、可投入时间、可承受投入；</w:t>
      </w:r>
    </w:p>
    <w:p>
      <w:pPr>
        <w:pStyle w:val="ListBullet"/>
        <w:keepLines/>
      </w:pPr>
      <w:r>
        <w:t>电商/经营经验、主要顾虑；</w:t>
      </w:r>
    </w:p>
    <w:p>
      <w:pPr>
        <w:pStyle w:val="ListBullet"/>
        <w:keepLines/>
      </w:pPr>
      <w:r>
        <w:t>当前阶段：新线索/待联系/已沟通/待资料/已预约/待决定/暂缓/停止联系；</w:t>
      </w:r>
    </w:p>
    <w:p>
      <w:pPr>
        <w:pStyle w:val="ListBullet"/>
        <w:keepLines/>
      </w:pPr>
      <w:r>
        <w:t>下一步动作、具体时间、负责人。</w:t>
      </w:r>
    </w:p>
    <w:p>
      <w:pPr>
        <w:pStyle w:val="Heading1"/>
        <w:keepNext/>
        <w:keepLines/>
      </w:pPr>
      <w:r>
        <w:rPr>
          <w:color w:val="00787A"/>
        </w:rPr>
        <w:t>四、承接红线</w:t>
      </w:r>
    </w:p>
    <w:p>
      <w:pPr>
        <w:pStyle w:val="ListBullet"/>
        <w:keepLines/>
      </w:pPr>
      <w:r>
        <w:t>不承诺保本、固定收益、回本周期、月入多少或“零风险”。</w:t>
      </w:r>
    </w:p>
    <w:p>
      <w:pPr>
        <w:pStyle w:val="ListBullet"/>
        <w:keepLines/>
      </w:pPr>
      <w:r>
        <w:t>不把营业额、平台结算额、订单金额说成净利润。</w:t>
      </w:r>
    </w:p>
    <w:p>
      <w:pPr>
        <w:pStyle w:val="ListBullet"/>
        <w:keepLines/>
      </w:pPr>
      <w:r>
        <w:t>不用虚假客户、虚假订单、虚假名额制造压力。</w:t>
      </w:r>
    </w:p>
    <w:p>
      <w:pPr>
        <w:pStyle w:val="ListBullet"/>
        <w:keepLines/>
      </w:pPr>
      <w:r>
        <w:t>未冻结的价格、分润、合同、退款与交付内容，不对外承诺。</w:t>
      </w:r>
    </w:p>
    <w:p>
      <w:pPr>
        <w:pStyle w:val="ListBullet"/>
        <w:keepLines/>
      </w:pPr>
      <w:r>
        <w:t>客户不适合时如实说明；客户明确拒绝后停止追问。</w:t>
      </w:r>
    </w:p>
    <w:p>
      <w:pPr>
        <w:pStyle w:val="ListBullet"/>
        <w:keepLines/>
      </w:pPr>
      <w:r>
        <w:t>案例只说明特定主体、特定周期和特定条件，使用前确认真实性与授权。</w:t>
      </w:r>
    </w:p>
    <w:p>
      <w:pPr>
        <w:pStyle w:val="Heading1"/>
        <w:keepNext/>
        <w:keepLines/>
      </w:pPr>
      <w:r>
        <w:rPr>
          <w:color w:val="00787A"/>
        </w:rPr>
        <w:t>五、建议首响时效</w:t>
      </w:r>
    </w:p>
    <w:p>
      <w:pPr>
        <w:pStyle w:val="ListBullet"/>
        <w:keepLines/>
      </w:pPr>
      <w:r>
        <w:t>工作时间新增私信：10 分钟内首响；</w:t>
      </w:r>
    </w:p>
    <w:p>
      <w:pPr>
        <w:pStyle w:val="ListBullet"/>
        <w:keepLines/>
      </w:pPr>
      <w:r>
        <w:t>已留电话的有效线索：30 分钟内首拨；</w:t>
      </w:r>
    </w:p>
    <w:p>
      <w:pPr>
        <w:pStyle w:val="ListBullet"/>
        <w:keepLines/>
      </w:pPr>
      <w:r>
        <w:t>未接通：当天分时段再拨 1—2 次，同时发一条说明短信或微信；</w:t>
      </w:r>
    </w:p>
    <w:p>
      <w:pPr>
        <w:pStyle w:val="ListBullet"/>
        <w:keepLines/>
      </w:pPr>
      <w:r>
        <w:t>加微信后：当天完成欢迎、标签和下一步确认；</w:t>
      </w:r>
    </w:p>
    <w:p>
      <w:pPr>
        <w:pStyle w:val="ListBullet"/>
        <w:keepLines/>
      </w:pPr>
      <w:r>
        <w:t>每次沟通结束：必须写清“谁、在什么时间、做什么”。</w:t>
      </w:r>
    </w:p>
    <w:p>
      <w:r>
        <w:br w:type="page"/>
      </w:r>
    </w:p>
    <w:p>
      <w:pPr>
        <w:pStyle w:val="Heading1"/>
        <w:keepNext/>
      </w:pPr>
      <w:r>
        <w:t>六、智能体推演后的统一执行规则</w:t>
      </w:r>
    </w:p>
    <w:p>
      <w:pPr>
        <w:pStyle w:val="Heading2"/>
        <w:keepNext/>
      </w:pPr>
      <w:r>
        <w:t>1. 隐私告知必须先于信息采集</w:t>
      </w:r>
    </w:p>
    <w:p>
      <w:pPr>
        <w:keepLines/>
      </w:pPr>
      <w:r>
        <w:t>以下信息仅用于课程安排、客户联系和适配判断。客户可以选择不提供；未经同意，不用于其他用途或转交无关第三方。如需更正、删除资料或停止联系，客户可随时提出，团队必须按登记表记录并执行。</w:t>
      </w:r>
    </w:p>
    <w:p>
      <w:pPr>
        <w:keepLines/>
      </w:pPr>
      <w:r>
        <w:t>严禁索要或记录与当前业务无关的身份证完整号码、银行卡完整号码、支付密码、短信验证码及其他敏感凭证。订单核验只使用必要字段。</w:t>
      </w:r>
    </w:p>
    <w:p>
      <w:pPr>
        <w:pStyle w:val="Heading2"/>
        <w:keepNext/>
      </w:pPr>
      <w:r>
        <w:t>2. 跨渠道去重和频控</w:t>
      </w:r>
    </w:p>
    <w:p>
      <w:pPr>
        <w:pStyle w:val="ListBullet"/>
        <w:keepLines/>
      </w:pPr>
      <w:r>
        <w:t>客户添加微信并确认身份后，原私信平台标记“已转微信”，停止重复营销跟进。</w:t>
      </w:r>
    </w:p>
    <w:p>
      <w:pPr>
        <w:pStyle w:val="ListBullet"/>
        <w:keepLines/>
      </w:pPr>
      <w:r>
        <w:t>电话和微信开场先复述登记表中的已知信息，只补缺失项，不让客户重复回答职业、时间和顾虑。</w:t>
      </w:r>
    </w:p>
    <w:p>
      <w:pPr>
        <w:pStyle w:val="ListBullet"/>
        <w:keepLines/>
      </w:pPr>
      <w:r>
        <w:t>未获得客户同意，不重新激活长期沉默客户；获得同意后，7天内主动触达原则上不超过3次。</w:t>
      </w:r>
    </w:p>
    <w:p>
      <w:pPr>
        <w:pStyle w:val="ListBullet"/>
        <w:keepLines/>
      </w:pPr>
      <w:r>
        <w:t>客户回复“停止”、明确拒绝或退订后，立即停止营销触达，仅保留依法依约必须完成的订单或售后通知。</w:t>
      </w:r>
    </w:p>
    <w:p>
      <w:pPr>
        <w:pStyle w:val="Heading2"/>
        <w:keepNext/>
      </w:pPr>
      <w:r>
        <w:t>3. 价格和信任信息不得回避</w:t>
      </w:r>
    </w:p>
    <w:p>
      <w:pPr>
        <w:keepLines/>
      </w:pPr>
      <w:r>
        <w:t>价格已批准时，直接发送批准价格、包含项、不包含项、官方链接或截图及退改规则；价格未冻结时，明确说明“目前未开放或未定价”，不得用模糊话术吊客户胃口。</w:t>
      </w:r>
    </w:p>
    <w:p>
      <w:pPr>
        <w:keepLines/>
      </w:pPr>
      <w:r>
        <w:t>客户提出真实性疑问时，发送信任核验四件套：经营或签约主体信息、合同与收款主体说明、交付及退改摘要、案例核验说明。任何信息对不上，客户应暂停付款。</w:t>
      </w:r>
    </w:p>
    <w:p>
      <w:pPr>
        <w:pStyle w:val="Heading2"/>
        <w:keepNext/>
      </w:pPr>
      <w:r>
        <w:t>4. 高风险客户停止标准</w:t>
      </w:r>
    </w:p>
    <w:p>
      <w:pPr>
        <w:pStyle w:val="ListBullet"/>
        <w:keepLines/>
      </w:pPr>
      <w:r>
        <w:t>准备借贷投入、动用基本生活资金或急于翻本；</w:t>
      </w:r>
    </w:p>
    <w:p>
      <w:pPr>
        <w:pStyle w:val="ListBullet"/>
        <w:keepLines/>
      </w:pPr>
      <w:r>
        <w:t>未成年人或明显缺乏独立决策能力；</w:t>
      </w:r>
    </w:p>
    <w:p>
      <w:pPr>
        <w:pStyle w:val="ListBullet"/>
        <w:keepLines/>
      </w:pPr>
      <w:r>
        <w:t>只接受保本、固定收益或确定回本时间；</w:t>
      </w:r>
    </w:p>
    <w:p>
      <w:pPr>
        <w:pStyle w:val="ListBullet"/>
        <w:keepLines/>
      </w:pPr>
      <w:r>
        <w:t>时间、预算或执行条件明显不匹配；</w:t>
      </w:r>
    </w:p>
    <w:p>
      <w:pPr>
        <w:keepLines/>
      </w:pPr>
      <w:r>
        <w:t>出现上述情况不促单，记录原因并建议暂缓。大额后端合作至少安排24小时冷静复核，再次核对合同、收款主体、完整成本和退出机制。</w:t>
      </w:r>
    </w:p>
    <w:p>
      <w:pPr>
        <w:pStyle w:val="Heading2"/>
        <w:keepNext/>
      </w:pPr>
      <w:r>
        <w:t>5. 每日主管复盘五项</w:t>
      </w:r>
    </w:p>
    <w:p>
      <w:pPr>
        <w:keepLines/>
      </w:pPr>
      <w:r>
        <w:t>新增总数、首响数、有效沟通数、已预约数、超时未处理数。主管同时抽查：隐私告知、跨渠道重复触达、下一步时间、承诺用语和停止联系执行情况。</w:t>
      </w:r>
    </w:p>
    <w:p>
      <w:r>
        <w:br w:type="page"/>
      </w:r>
    </w:p>
    <w:p>
      <w:pPr>
        <w:pStyle w:val="Heading1"/>
      </w:pPr>
      <w:r>
        <w:t>七、20条客资并发分配规则</w:t>
      </w:r>
    </w:p>
    <w:p>
      <w:pPr>
        <w:pStyle w:val="Heading2"/>
      </w:pPr>
      <w:r>
        <w:t>1. 单一入口和责任人</w:t>
      </w:r>
    </w:p>
    <w:p>
      <w:pPr>
        <w:pStyle w:val="ListNumber"/>
      </w:pPr>
      <w:r>
        <w:t>当班主管是唯一分配人；客服不得从公域入口自行抢单。</w:t>
      </w:r>
    </w:p>
    <w:p>
      <w:pPr>
        <w:pStyle w:val="ListNumber"/>
      </w:pPr>
      <w:r>
        <w:t>新线索进入后5分钟内由主管完成去重和A角分配，A角10分钟内在登记表确认接收。</w:t>
      </w:r>
    </w:p>
    <w:p>
      <w:pPr>
        <w:pStyle w:val="ListNumber"/>
      </w:pPr>
      <w:r>
        <w:t>A角超过10分钟未接收，系统或主管转给B角；转单后原A角不得再次联系。</w:t>
      </w:r>
    </w:p>
    <w:p>
      <w:pPr>
        <w:pStyle w:val="ListNumber"/>
      </w:pPr>
      <w:r>
        <w:t>同一客户全链路保持一个主负责人；确需转交时写明交接原因、时间、接收人和下一步。</w:t>
      </w:r>
    </w:p>
    <w:p>
      <w:pPr>
        <w:pStyle w:val="Heading2"/>
      </w:pPr>
      <w:r>
        <w:t>2. 去重优先级</w:t>
      </w:r>
    </w:p>
    <w:p>
      <w:r>
        <w:t>按以下顺序在受控系统内匹配：订单ID → 经授权保存的手机号受控匹配结果 → 平台账号或微信唯一标识 → 姓名、城市、来源等辅助信息。普通登记表只显示电话后四位，不以电话后四位单独判断重复。</w:t>
      </w:r>
    </w:p>
    <w:p>
      <w:r>
        <w:t>出现疑似重复时先暂停分配，由主管合并记录并保留最早来源、最新状态和唯一负责人；不得让两个客服同时试探客户是否为同一人。</w:t>
      </w:r>
    </w:p>
    <w:p>
      <w:pPr>
        <w:pStyle w:val="Heading2"/>
      </w:pPr>
      <w:r>
        <w:t>3. 日报计算口径</w:t>
      </w:r>
    </w:p>
    <w:p>
      <w:pPr>
        <w:pStyle w:val="ListBullet"/>
      </w:pPr>
      <w:r>
        <w:t>新增：统计日内首次进入系统且完成去重后的唯一线索数。</w:t>
      </w:r>
    </w:p>
    <w:p>
      <w:pPr>
        <w:pStyle w:val="ListBullet"/>
      </w:pPr>
      <w:r>
        <w:t>首响：在SLA内完成一次有效人工私信、电话接通或客户确认收到的微信联系。单纯拨号未接不算有效首响，但计入联系尝试。</w:t>
      </w:r>
    </w:p>
    <w:p>
      <w:pPr>
        <w:pStyle w:val="ListBullet"/>
      </w:pPr>
      <w:r>
        <w:t>有效沟通：客户明确回答至少一个核心需求问题，并形成可执行下一步；寒暄、群发或未接通不算。</w:t>
      </w:r>
    </w:p>
    <w:p>
      <w:pPr>
        <w:pStyle w:val="ListBullet"/>
      </w:pPr>
      <w:r>
        <w:t>已预约：客户明确同意具体日期、时间和沟通事项；只说“有空再聊”不算。</w:t>
      </w:r>
    </w:p>
    <w:p>
      <w:pPr>
        <w:pStyle w:val="ListBullet"/>
      </w:pPr>
      <w:r>
        <w:t>超时未处理：超过SLA截止时间仍未完成首次联系尝试，或没有负责人/下一步的线索。</w:t>
      </w:r>
    </w:p>
    <w:p>
      <w:pPr>
        <w:pStyle w:val="ListBullet"/>
      </w:pPr>
      <w:r>
        <w:t>关闭：明确拒绝、退订、无效号码、重复线索合并或按规则完成阶段任务，并记录关闭原因。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iragino Sans GB" w:hAnsi="Hiragino Sans GB" w:eastAsia="Hiragino Sans GB"/>
        <w:color w:val="8C8C8C"/>
        <w:sz w:val="16"/>
      </w:rPr>
      <w:t>内部执行资料  |  不承诺收益，不夸大案例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Hiragino Sans GB" w:hAnsi="Hiragino Sans GB" w:eastAsia="Hiragino Sans GB"/>
        <w:color w:val="828282"/>
        <w:sz w:val="17"/>
      </w:rPr>
      <w:t>徐州创业粉项目  |  客资承接执行资料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24" w:lineRule="auto"/>
    </w:pPr>
    <w:rPr>
      <w:rFonts w:ascii="Hiragino Sans GB" w:hAnsi="Hiragino Sans GB" w:eastAsia="Hiragino Sans GB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8B8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Hiragino Sans GB" w:hAnsi="Hiragino Sans GB" w:eastAsia="Hiragino Sans GB"/>
      <w:b/>
      <w:color w:val="00787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