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后端产品卡 V2｜五档产品与四类合作模式</w:t>
      </w:r>
    </w:p>
    <w:p>
      <w:pPr>
        <w:pStyle w:val="Subtitle"/>
      </w:pPr>
      <w:r>
        <w:t>标准服务、城市共建与战略合作的交付和风险边界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FCEDE6"/>
            <w:tcBorders>
              <w:top w:val="single" w:sz="8" w:color="E86A33"/>
              <w:left w:val="single" w:sz="8" w:color="E86A33"/>
              <w:bottom w:val="single" w:sz="8" w:color="E86A33"/>
              <w:right w:val="single" w:sz="8" w:color="E86A33"/>
              <w:insideH w:val="single" w:sz="8" w:color="E86A33"/>
              <w:insideV w:val="single" w:sz="8" w:color="E86A33"/>
            </w:tcBorders>
          </w:tcPr>
          <w:p>
            <w:pPr>
              <w:spacing w:after="40"/>
            </w:pPr>
            <w:r>
              <w:rPr>
                <w:rFonts w:ascii="HarmonyOS Sans SC" w:hAnsi="HarmonyOS Sans SC" w:eastAsia="HarmonyOS Sans SC"/>
                <w:b/>
                <w:color w:val="E86A33"/>
                <w:sz w:val="20"/>
              </w:rPr>
              <w:t>文件状态</w:t>
            </w:r>
          </w:p>
          <w:p>
            <w:pPr>
              <w:spacing w:after="0" w:line="276" w:lineRule="auto"/>
            </w:pPr>
            <w:r>
              <w:rPr>
                <w:rFonts w:ascii="HarmonyOS Sans SC" w:hAnsi="HarmonyOS Sans SC" w:eastAsia="HarmonyOS Sans SC"/>
                <w:color w:val="22312E"/>
                <w:sz w:val="19"/>
              </w:rPr>
              <w:t>内部产品设计与冻结稿。凡标注“建议”“待冻结”“专项方案”的内容均不是已承诺权益；未取得产品、财务、法务、交付四方批准前，不得用于直播、私域、会场报价、意向金收取或签约。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FCEDE6"/>
            <w:tcBorders>
              <w:top w:val="single" w:sz="8" w:color="E86A33"/>
              <w:left w:val="single" w:sz="8" w:color="E86A33"/>
              <w:bottom w:val="single" w:sz="8" w:color="E86A33"/>
              <w:right w:val="single" w:sz="8" w:color="E86A33"/>
              <w:insideH w:val="single" w:sz="8" w:color="E86A33"/>
              <w:insideV w:val="single" w:sz="8" w:color="E86A33"/>
            </w:tcBorders>
          </w:tcPr>
          <w:p>
            <w:pPr>
              <w:spacing w:after="40"/>
            </w:pPr>
            <w:r>
              <w:rPr>
                <w:rFonts w:ascii="HarmonyOS Sans SC" w:hAnsi="HarmonyOS Sans SC" w:eastAsia="HarmonyOS Sans SC"/>
                <w:b/>
                <w:color w:val="E86A33"/>
                <w:sz w:val="20"/>
              </w:rPr>
              <w:t>当前结论</w:t>
            </w:r>
          </w:p>
          <w:p>
            <w:pPr>
              <w:spacing w:after="0" w:line="276" w:lineRule="auto"/>
            </w:pPr>
            <w:r>
              <w:rPr>
                <w:rFonts w:ascii="HarmonyOS Sans SC" w:hAnsi="HarmonyOS Sans SC" w:eastAsia="HarmonyOS Sans SC"/>
                <w:color w:val="22312E"/>
                <w:sz w:val="19"/>
              </w:rPr>
              <w:t>A/B档可继续研发成标准服务；C档为企业申请制；D/E档暂不进入销售菜单。任何档位只有名称和价格、没有真实项目卡与交付资源时，都不构成可销售产品。</w:t>
            </w:r>
          </w:p>
        </w:tc>
      </w:tr>
    </w:tbl>
    <w:p>
      <w:pPr>
        <w:spacing w:after="0"/>
      </w:pPr>
    </w:p>
    <w:p>
      <w:pPr>
        <w:pStyle w:val="Heading1"/>
      </w:pPr>
      <w:r>
        <w:t>一、四类合作模式先分清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73"/>
        <w:gridCol w:w="1973"/>
        <w:gridCol w:w="1973"/>
        <w:gridCol w:w="1973"/>
        <w:gridCol w:w="1973"/>
      </w:tblGrid>
      <w:tr>
        <w:trPr>
          <w:tblHeader w:val="true"/>
          <w:cantSplit/>
        </w:trPr>
        <w:tc>
          <w:tcPr>
            <w:tcW w:type="dxa" w:w="147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模式</w:t>
            </w:r>
          </w:p>
        </w:tc>
        <w:tc>
          <w:tcPr>
            <w:tcW w:type="dxa" w:w="283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谁出力/出钱</w:t>
            </w:r>
          </w:p>
        </w:tc>
        <w:tc>
          <w:tcPr>
            <w:tcW w:type="dxa" w:w="260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业务关系</w:t>
            </w:r>
          </w:p>
        </w:tc>
        <w:tc>
          <w:tcPr>
            <w:tcW w:type="dxa" w:w="124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对应产品</w:t>
            </w:r>
          </w:p>
        </w:tc>
        <w:tc>
          <w:tcPr>
            <w:tcW w:type="dxa" w:w="204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主要风险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就业协作</w:t>
            </w:r>
          </w:p>
        </w:tc>
        <w:tc>
          <w:tcPr>
            <w:tcW w:type="dxa" w:w="28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个人主要出力，公司按岗位安排</w:t>
            </w:r>
          </w:p>
        </w:tc>
        <w:tc>
          <w:tcPr>
            <w:tcW w:type="dxa" w:w="260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劳动、劳务或项目协作</w:t>
            </w:r>
          </w:p>
        </w:tc>
        <w:tc>
          <w:tcPr>
            <w:tcW w:type="dxa" w:w="124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不是付费产品</w:t>
            </w:r>
          </w:p>
        </w:tc>
        <w:tc>
          <w:tcPr>
            <w:tcW w:type="dxa" w:w="204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工资分红混淆、考核退出不清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个人创业</w:t>
            </w:r>
          </w:p>
        </w:tc>
        <w:tc>
          <w:tcPr>
            <w:tcW w:type="dxa" w:w="28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客户出服务费和经营资金并自主经营</w:t>
            </w:r>
          </w:p>
        </w:tc>
        <w:tc>
          <w:tcPr>
            <w:tcW w:type="dxa" w:w="260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培训/服务+客户经营</w:t>
            </w:r>
          </w:p>
        </w:tc>
        <w:tc>
          <w:tcPr>
            <w:tcW w:type="dxa" w:w="124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A/B</w:t>
            </w:r>
          </w:p>
        </w:tc>
        <w:tc>
          <w:tcPr>
            <w:tcW w:type="dxa" w:w="204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额外投入、账号货物、亏损承担不清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城市合作</w:t>
            </w:r>
          </w:p>
        </w:tc>
        <w:tc>
          <w:tcPr>
            <w:tcW w:type="dxa" w:w="28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合作方出主体、团队、场地和预算；双方协作</w:t>
            </w:r>
          </w:p>
        </w:tc>
        <w:tc>
          <w:tcPr>
            <w:tcW w:type="dxa" w:w="260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企业间运营与交付合作</w:t>
            </w:r>
          </w:p>
        </w:tc>
        <w:tc>
          <w:tcPr>
            <w:tcW w:type="dxa" w:w="124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C</w:t>
            </w:r>
          </w:p>
        </w:tc>
        <w:tc>
          <w:tcPr>
            <w:tcW w:type="dxa" w:w="204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区域授权、客户归属、分账和退出不清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资金合作</w:t>
            </w:r>
          </w:p>
        </w:tc>
        <w:tc>
          <w:tcPr>
            <w:tcW w:type="dxa" w:w="28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一方出资，另一方可能负责经营</w:t>
            </w:r>
          </w:p>
        </w:tc>
        <w:tc>
          <w:tcPr>
            <w:tcW w:type="dxa" w:w="260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可能涉及委托、合伙、借款或投资</w:t>
            </w:r>
          </w:p>
        </w:tc>
        <w:tc>
          <w:tcPr>
            <w:tcW w:type="dxa" w:w="124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D/E待审</w:t>
            </w:r>
          </w:p>
        </w:tc>
        <w:tc>
          <w:tcPr>
            <w:tcW w:type="dxa" w:w="204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非法集资、保本承诺、资金挪用和信息不对称</w:t>
            </w:r>
          </w:p>
        </w:tc>
      </w:tr>
    </w:tbl>
    <w:p>
      <w:pPr>
        <w:spacing w:after="0"/>
      </w:pPr>
    </w:p>
    <w:p>
      <w:pPr>
        <w:pStyle w:val="Heading1"/>
      </w:pPr>
      <w:r>
        <w:t>二、后端产品总表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44"/>
        <w:gridCol w:w="1644"/>
        <w:gridCol w:w="1644"/>
        <w:gridCol w:w="1644"/>
        <w:gridCol w:w="1644"/>
        <w:gridCol w:w="1644"/>
      </w:tblGrid>
      <w:tr>
        <w:trPr>
          <w:tblHeader w:val="true"/>
          <w:cantSplit/>
        </w:trPr>
        <w:tc>
          <w:tcPr>
            <w:tcW w:type="dxa" w:w="850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档位</w:t>
            </w:r>
          </w:p>
        </w:tc>
        <w:tc>
          <w:tcPr>
            <w:tcW w:type="dxa" w:w="243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暂定产品</w:t>
            </w:r>
          </w:p>
        </w:tc>
        <w:tc>
          <w:tcPr>
            <w:tcW w:type="dxa" w:w="147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讨论价格</w:t>
            </w:r>
          </w:p>
        </w:tc>
        <w:tc>
          <w:tcPr>
            <w:tcW w:type="dxa" w:w="141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建议周期</w:t>
            </w:r>
          </w:p>
        </w:tc>
        <w:tc>
          <w:tcPr>
            <w:tcW w:type="dxa" w:w="357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最小交付主线</w:t>
            </w:r>
          </w:p>
        </w:tc>
        <w:tc>
          <w:tcPr>
            <w:tcW w:type="dxa" w:w="170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状态</w:t>
            </w:r>
          </w:p>
        </w:tc>
      </w:tr>
      <w:tr>
        <w:trPr>
          <w:cantSplit/>
          <w:trHeight w:hRule="atLeast"/>
        </w:trPr>
        <w:tc>
          <w:tcPr>
            <w:tcW w:type="dxa" w:w="850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A</w:t>
            </w:r>
          </w:p>
        </w:tc>
        <w:tc>
          <w:tcPr>
            <w:tcW w:type="dxa" w:w="243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单项目启动验证服务</w:t>
            </w:r>
          </w:p>
        </w:tc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19,800元</w:t>
            </w:r>
          </w:p>
        </w:tc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30天</w:t>
            </w:r>
          </w:p>
        </w:tc>
        <w:tc>
          <w:tcPr>
            <w:tcW w:type="dxa" w:w="35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启动会、条件核验、流程搭建、首轮验证、结案</w:t>
            </w:r>
          </w:p>
        </w:tc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待项目卡和成本冻结</w:t>
            </w:r>
          </w:p>
        </w:tc>
      </w:tr>
      <w:tr>
        <w:trPr>
          <w:cantSplit/>
          <w:trHeight w:hRule="atLeast"/>
        </w:trPr>
        <w:tc>
          <w:tcPr>
            <w:tcW w:type="dxa" w:w="850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B</w:t>
            </w:r>
          </w:p>
        </w:tc>
        <w:tc>
          <w:tcPr>
            <w:tcW w:type="dxa" w:w="243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单项目90天经营陪跑服务</w:t>
            </w:r>
          </w:p>
        </w:tc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69,800元</w:t>
            </w:r>
          </w:p>
        </w:tc>
        <w:tc>
          <w:tcPr>
            <w:tcW w:type="dxa" w:w="141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90天</w:t>
            </w:r>
          </w:p>
        </w:tc>
        <w:tc>
          <w:tcPr>
            <w:tcW w:type="dxa" w:w="35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经营诊断、三阶段计划、周复盘、数据纠偏、阶段报告</w:t>
            </w:r>
          </w:p>
        </w:tc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待产能和SLA冻结</w:t>
            </w:r>
          </w:p>
        </w:tc>
      </w:tr>
      <w:tr>
        <w:trPr>
          <w:cantSplit/>
          <w:trHeight w:hRule="atLeast"/>
        </w:trPr>
        <w:tc>
          <w:tcPr>
            <w:tcW w:type="dxa" w:w="850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C</w:t>
            </w:r>
          </w:p>
        </w:tc>
        <w:tc>
          <w:tcPr>
            <w:tcW w:type="dxa" w:w="243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城市创业服务运营中心共建</w:t>
            </w:r>
          </w:p>
        </w:tc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298,000元</w:t>
            </w:r>
          </w:p>
        </w:tc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180天</w:t>
            </w:r>
          </w:p>
        </w:tc>
        <w:tc>
          <w:tcPr>
            <w:tcW w:type="dxa" w:w="35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尽调、城市方案、团队训练、链路搭建、里程碑验收</w:t>
            </w:r>
          </w:p>
        </w:tc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申请制｜禁止现场成交</w:t>
            </w:r>
          </w:p>
        </w:tc>
      </w:tr>
      <w:tr>
        <w:trPr>
          <w:cantSplit/>
          <w:trHeight w:hRule="atLeast"/>
        </w:trPr>
        <w:tc>
          <w:tcPr>
            <w:tcW w:type="dxa" w:w="850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D</w:t>
            </w:r>
          </w:p>
        </w:tc>
        <w:tc>
          <w:tcPr>
            <w:tcW w:type="dxa" w:w="243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区域联合运营专项方案</w:t>
            </w:r>
          </w:p>
        </w:tc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1,000,000元</w:t>
            </w:r>
          </w:p>
        </w:tc>
        <w:tc>
          <w:tcPr>
            <w:tcW w:type="dxa" w:w="141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专项约定</w:t>
            </w:r>
          </w:p>
        </w:tc>
        <w:tc>
          <w:tcPr>
            <w:tcW w:type="dxa" w:w="35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治理、区域预算、系统资源、审计和退出</w:t>
            </w:r>
          </w:p>
        </w:tc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禁售｜待专业审查</w:t>
            </w:r>
          </w:p>
        </w:tc>
      </w:tr>
      <w:tr>
        <w:trPr>
          <w:cantSplit/>
          <w:trHeight w:hRule="atLeast"/>
        </w:trPr>
        <w:tc>
          <w:tcPr>
            <w:tcW w:type="dxa" w:w="850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E</w:t>
            </w:r>
          </w:p>
        </w:tc>
        <w:tc>
          <w:tcPr>
            <w:tcW w:type="dxa" w:w="243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战略平台共建专项方案</w:t>
            </w:r>
          </w:p>
        </w:tc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2,000,000元</w:t>
            </w:r>
          </w:p>
        </w:tc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专项约定</w:t>
            </w:r>
          </w:p>
        </w:tc>
        <w:tc>
          <w:tcPr>
            <w:tcW w:type="dxa" w:w="35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战略目标、治理结构、资金监管、项目组合和独立审计</w:t>
            </w:r>
          </w:p>
        </w:tc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禁售｜待董事会级方案</w:t>
            </w:r>
          </w:p>
        </w:tc>
      </w:tr>
    </w:tbl>
    <w:p>
      <w:pPr>
        <w:spacing w:after="0"/>
      </w:pPr>
    </w:p>
    <w:p>
      <w:pPr>
        <w:pStyle w:val="Heading1"/>
      </w:pPr>
      <w:r>
        <w:t>三、真实项目载体必须单独建卡</w:t>
      </w:r>
    </w:p>
    <w:p>
      <w:r>
        <w:rPr>
          <w:rFonts w:ascii="HarmonyOS Sans SC" w:hAnsi="HarmonyOS Sans SC" w:eastAsia="HarmonyOS Sans SC"/>
        </w:rPr>
        <w:t>A/B/C是服务或合作深度，Temu、抖店才是实际经营载体。每份A/B合同只能关联一个经审核的项目卡；更换项目必须重新评估交付、预算、平台规则和客户适配，不能因为同属“电商项目”就直接替换。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70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候选项目</w:t>
            </w:r>
          </w:p>
        </w:tc>
        <w:tc>
          <w:tcPr>
            <w:tcW w:type="dxa" w:w="408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可作为A/B载体的前提</w:t>
            </w:r>
          </w:p>
        </w:tc>
        <w:tc>
          <w:tcPr>
            <w:tcW w:type="dxa" w:w="408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当前必须阻断的问题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Temu全托管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完成主体、店铺、选品核价、仓储发货、退供、回款和售后全流程验证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3-5万元保证金及备货只是内部口述起点；必须用真实店铺、平台规则和现金流重新核验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Temu半托管</w:t>
            </w:r>
          </w:p>
        </w:tc>
        <w:tc>
          <w:tcPr>
            <w:tcW w:type="dxa" w:w="408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完成目标国家、物流/海外仓、税务、知识产权、退货和汇率方案</w:t>
            </w:r>
          </w:p>
        </w:tc>
        <w:tc>
          <w:tcPr>
            <w:tcW w:type="dxa" w:w="408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履约复杂度和资金需求未冻结前，不应向新手推荐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抖音小店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完成店铺来源、资质授权、选品、流量、履约、退款和违规处理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旧“29,800元/10家店”与A/B价格和交付冲突；未定义钱的性质、店铺权属和售后前停用</w:t>
            </w:r>
          </w:p>
        </w:tc>
      </w:tr>
    </w:tbl>
    <w:p>
      <w:pPr>
        <w:spacing w:after="0"/>
      </w:pPr>
    </w:p>
    <w:p>
      <w:pPr>
        <w:pStyle w:val="Heading1"/>
      </w:pPr>
      <w:r>
        <w:t>四、A档｜单项目启动验证服务</w:t>
      </w:r>
    </w:p>
    <w:p>
      <w:r>
        <w:rPr>
          <w:rFonts w:ascii="HarmonyOS Sans SC" w:hAnsi="HarmonyOS Sans SC" w:eastAsia="HarmonyOS Sans SC"/>
        </w:rPr>
        <w:t>建议定位：围绕一个已经通过内部审核的真实项目，帮助客户在30天内完成启动条件核验、基础流程搭建、首轮小规模验证和结案复盘。卖的是标准服务，不是店铺、货物、保证金或经营结果。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53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357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我方交付</w:t>
            </w:r>
          </w:p>
        </w:tc>
        <w:tc>
          <w:tcPr>
            <w:tcW w:type="dxa" w:w="283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客户责任</w:t>
            </w:r>
          </w:p>
        </w:tc>
        <w:tc>
          <w:tcPr>
            <w:tcW w:type="dxa" w:w="215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验收证据</w:t>
            </w:r>
          </w:p>
        </w:tc>
      </w:tr>
      <w:tr>
        <w:trPr>
          <w:cantSplit/>
          <w:trHeight w:hRule="atLeast"/>
        </w:trPr>
        <w:tc>
          <w:tcPr>
            <w:tcW w:type="dxa" w:w="153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签约前</w:t>
            </w:r>
          </w:p>
        </w:tc>
        <w:tc>
          <w:tcPr>
            <w:tcW w:type="dxa" w:w="35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项目卡、总预算、交付、不包含项、风险和退出说明</w:t>
            </w:r>
          </w:p>
        </w:tc>
        <w:tc>
          <w:tcPr>
            <w:tcW w:type="dxa" w:w="28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如实提供主体、时间、资金和能力信息</w:t>
            </w:r>
          </w:p>
        </w:tc>
        <w:tc>
          <w:tcPr>
            <w:tcW w:type="dxa" w:w="215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产品确认单</w:t>
            </w:r>
          </w:p>
        </w:tc>
      </w:tr>
      <w:tr>
        <w:trPr>
          <w:cantSplit/>
          <w:trHeight w:hRule="atLeast"/>
        </w:trPr>
        <w:tc>
          <w:tcPr>
            <w:tcW w:type="dxa" w:w="153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第1-3天</w:t>
            </w:r>
          </w:p>
        </w:tc>
        <w:tc>
          <w:tcPr>
            <w:tcW w:type="dxa" w:w="35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启动会、资料清单、30天计划</w:t>
            </w:r>
          </w:p>
        </w:tc>
        <w:tc>
          <w:tcPr>
            <w:tcW w:type="dxa" w:w="28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指定负责人、提交资料和预算</w:t>
            </w:r>
          </w:p>
        </w:tc>
        <w:tc>
          <w:tcPr>
            <w:tcW w:type="dxa" w:w="215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启动纪要+计划</w:t>
            </w:r>
          </w:p>
        </w:tc>
      </w:tr>
      <w:tr>
        <w:trPr>
          <w:cantSplit/>
          <w:trHeight w:hRule="atLeast"/>
        </w:trPr>
        <w:tc>
          <w:tcPr>
            <w:tcW w:type="dxa" w:w="153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第4-10天</w:t>
            </w:r>
          </w:p>
        </w:tc>
        <w:tc>
          <w:tcPr>
            <w:tcW w:type="dxa" w:w="35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主体/账号/供应链/渠道的合规指导</w:t>
            </w:r>
          </w:p>
        </w:tc>
        <w:tc>
          <w:tcPr>
            <w:tcW w:type="dxa" w:w="28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自行申请、采购和付款，不提供虚假资料</w:t>
            </w:r>
          </w:p>
        </w:tc>
        <w:tc>
          <w:tcPr>
            <w:tcW w:type="dxa" w:w="215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条件核验表</w:t>
            </w:r>
          </w:p>
        </w:tc>
      </w:tr>
      <w:tr>
        <w:trPr>
          <w:cantSplit/>
          <w:trHeight w:hRule="atLeast"/>
        </w:trPr>
        <w:tc>
          <w:tcPr>
            <w:tcW w:type="dxa" w:w="153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第11-20天</w:t>
            </w:r>
          </w:p>
        </w:tc>
        <w:tc>
          <w:tcPr>
            <w:tcW w:type="dxa" w:w="35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产品/选品或服务方案、基础内容/上架/咨询模板</w:t>
            </w:r>
          </w:p>
        </w:tc>
        <w:tc>
          <w:tcPr>
            <w:tcW w:type="dxa" w:w="28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完成规定动作并保留真实数据</w:t>
            </w:r>
          </w:p>
        </w:tc>
        <w:tc>
          <w:tcPr>
            <w:tcW w:type="dxa" w:w="215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执行记录</w:t>
            </w:r>
          </w:p>
        </w:tc>
      </w:tr>
      <w:tr>
        <w:trPr>
          <w:cantSplit/>
          <w:trHeight w:hRule="atLeast"/>
        </w:trPr>
        <w:tc>
          <w:tcPr>
            <w:tcW w:type="dxa" w:w="153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第21-27天</w:t>
            </w:r>
          </w:p>
        </w:tc>
        <w:tc>
          <w:tcPr>
            <w:tcW w:type="dxa" w:w="35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一次首轮验证复盘和问题清单</w:t>
            </w:r>
          </w:p>
        </w:tc>
        <w:tc>
          <w:tcPr>
            <w:tcW w:type="dxa" w:w="28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提交台账与异常</w:t>
            </w:r>
          </w:p>
        </w:tc>
        <w:tc>
          <w:tcPr>
            <w:tcW w:type="dxa" w:w="215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复盘纪要</w:t>
            </w:r>
          </w:p>
        </w:tc>
      </w:tr>
      <w:tr>
        <w:trPr>
          <w:cantSplit/>
          <w:trHeight w:hRule="atLeast"/>
        </w:trPr>
        <w:tc>
          <w:tcPr>
            <w:tcW w:type="dxa" w:w="153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第28-30天</w:t>
            </w:r>
          </w:p>
        </w:tc>
        <w:tc>
          <w:tcPr>
            <w:tcW w:type="dxa" w:w="35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结案报告、下一步继续/调整/停止建议</w:t>
            </w:r>
          </w:p>
        </w:tc>
        <w:tc>
          <w:tcPr>
            <w:tcW w:type="dxa" w:w="28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确认交付与遗留事项</w:t>
            </w:r>
          </w:p>
        </w:tc>
        <w:tc>
          <w:tcPr>
            <w:tcW w:type="dxa" w:w="215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结案验收单</w:t>
            </w:r>
          </w:p>
        </w:tc>
      </w:tr>
    </w:tbl>
    <w:p>
      <w:pPr>
        <w:spacing w:after="0"/>
      </w:pPr>
    </w:p>
    <w:p>
      <w:r>
        <w:rPr>
          <w:rFonts w:ascii="HarmonyOS Sans SC" w:hAnsi="HarmonyOS Sans SC" w:eastAsia="HarmonyOS Sans SC"/>
        </w:rPr>
        <w:t>建议服务频次：1次启动会、1次流程工作坊、最多4次集体/线上复盘、1份结案报告。具体次数和时长以交付产能冻结表为准。</w:t>
      </w:r>
    </w:p>
    <w:p>
      <w:pPr>
        <w:pStyle w:val="ListBullet"/>
        <w:keepLines/>
      </w:pPr>
      <w:r>
        <w:t>不包含：店铺/账号采购、主体和许可代办、平台保证金、货款、物流、投流、软件、人工、税费、退款准备金。</w:t>
      </w:r>
    </w:p>
    <w:p>
      <w:pPr>
        <w:pStyle w:val="ListBullet"/>
        <w:keepLines/>
      </w:pPr>
      <w:r>
        <w:t>不承诺：平台审核、选品通过、上架、订单、营业额、利润、回本或可持续经营。</w:t>
      </w:r>
    </w:p>
    <w:p>
      <w:pPr>
        <w:pStyle w:val="ListBullet"/>
        <w:keepLines/>
      </w:pPr>
      <w:r>
        <w:t>准入：一个经营主体、一个冻结项目、一名实际负责人，具备项目要求的基本资金和时间。</w:t>
      </w:r>
    </w:p>
    <w:p>
      <w:pPr>
        <w:pStyle w:val="Heading1"/>
      </w:pPr>
      <w:r>
        <w:t>五、B档｜单项目90天经营陪跑服务</w:t>
      </w:r>
    </w:p>
    <w:p>
      <w:r>
        <w:rPr>
          <w:rFonts w:ascii="HarmonyOS Sans SC" w:hAnsi="HarmonyOS Sans SC" w:eastAsia="HarmonyOS Sans SC"/>
        </w:rPr>
        <w:t>建议定位：客户已经具备经营主体、团队和启动资金，我方围绕一个冻结项目提供90天经营诊断、计划、周复盘、数据分析和关键节点纠偏。卖的是高频陪跑和经营管理机制，不是代运营。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47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226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重点</w:t>
            </w:r>
          </w:p>
        </w:tc>
        <w:tc>
          <w:tcPr>
            <w:tcW w:type="dxa" w:w="408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我方建议交付</w:t>
            </w:r>
          </w:p>
        </w:tc>
        <w:tc>
          <w:tcPr>
            <w:tcW w:type="dxa" w:w="221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阶段验收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0-15天</w:t>
            </w:r>
          </w:p>
        </w:tc>
        <w:tc>
          <w:tcPr>
            <w:tcW w:type="dxa" w:w="226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经营诊断与启动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现状审计、目标与指标、RACI、台账、风险清单</w:t>
            </w:r>
          </w:p>
        </w:tc>
        <w:tc>
          <w:tcPr>
            <w:tcW w:type="dxa" w:w="221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基线报告+阶段计划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16-45天</w:t>
            </w:r>
          </w:p>
        </w:tc>
        <w:tc>
          <w:tcPr>
            <w:tcW w:type="dxa" w:w="226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渠道和转化验证</w:t>
            </w:r>
          </w:p>
        </w:tc>
        <w:tc>
          <w:tcPr>
            <w:tcW w:type="dxa" w:w="408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周复盘、内容/选品/咨询/履约问题纠偏</w:t>
            </w:r>
          </w:p>
        </w:tc>
        <w:tc>
          <w:tcPr>
            <w:tcW w:type="dxa" w:w="221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第一阶段复盘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46-75天</w:t>
            </w:r>
          </w:p>
        </w:tc>
        <w:tc>
          <w:tcPr>
            <w:tcW w:type="dxa" w:w="226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效率与现金流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成本、退款、回款、库存/排期和团队动作复盘</w:t>
            </w:r>
          </w:p>
        </w:tc>
        <w:tc>
          <w:tcPr>
            <w:tcW w:type="dxa" w:w="221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第二阶段复盘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76-90天</w:t>
            </w:r>
          </w:p>
        </w:tc>
        <w:tc>
          <w:tcPr>
            <w:tcW w:type="dxa" w:w="226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稳定性与结案</w:t>
            </w:r>
          </w:p>
        </w:tc>
        <w:tc>
          <w:tcPr>
            <w:tcW w:type="dxa" w:w="408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流程固化、问题清单、下一周期建议</w:t>
            </w:r>
          </w:p>
        </w:tc>
        <w:tc>
          <w:tcPr>
            <w:tcW w:type="dxa" w:w="221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结案报告+验收单</w:t>
            </w:r>
          </w:p>
        </w:tc>
      </w:tr>
    </w:tbl>
    <w:p>
      <w:pPr>
        <w:spacing w:after="0"/>
      </w:pPr>
    </w:p>
    <w:p>
      <w:pPr>
        <w:pStyle w:val="ListBullet"/>
        <w:keepLines/>
      </w:pPr>
      <w:r>
        <w:t>建议频次：1次启动诊断、每周1次复盘、3份阶段报告、重大异常按SLA响应。数量待产能核算。</w:t>
      </w:r>
    </w:p>
    <w:p>
      <w:pPr>
        <w:pStyle w:val="ListBullet"/>
        <w:keepLines/>
      </w:pPr>
      <w:r>
        <w:t>客户仍负责日常经营、人员管理、货款投流、平台操作、售后退款、合规和税务。</w:t>
      </w:r>
    </w:p>
    <w:p>
      <w:pPr>
        <w:pStyle w:val="ListBullet"/>
        <w:keepLines/>
      </w:pPr>
      <w:r>
        <w:t>营业额和利润可作为复盘指标，但不作为我方默认验收或保证结果。</w:t>
      </w:r>
    </w:p>
    <w:p>
      <w:pPr>
        <w:pStyle w:val="ListBullet"/>
        <w:keepLines/>
      </w:pPr>
      <w:r>
        <w:t>同一合同最多覆盖一个经营主体、一个项目和约定团队范围；新增项目另行评估。</w:t>
      </w:r>
    </w:p>
    <w:p>
      <w:pPr>
        <w:pStyle w:val="Heading1"/>
      </w:pPr>
      <w:r>
        <w:t>六、C档｜城市创业服务运营中心共建</w:t>
      </w:r>
    </w:p>
    <w:p>
      <w:r>
        <w:rPr>
          <w:rFonts w:ascii="HarmonyOS Sans SC" w:hAnsi="HarmonyOS Sans SC" w:eastAsia="HarmonyOS Sans SC"/>
        </w:rPr>
        <w:t>建议定位：面向具备企业主体、本地团队、场地和经营预算的合作方，双方在一个明确城市范围内共建获客、课程、项目咨询和交付协作机制。298,000元只作为内部讨论的合作服务费，不自动包含经营周转金、广告费、员工工资或区域独家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41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模块</w:t>
            </w:r>
          </w:p>
        </w:tc>
        <w:tc>
          <w:tcPr>
            <w:tcW w:type="dxa" w:w="306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我方建议责任</w:t>
            </w:r>
          </w:p>
        </w:tc>
        <w:tc>
          <w:tcPr>
            <w:tcW w:type="dxa" w:w="317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城市合作方建议责任</w:t>
            </w:r>
          </w:p>
        </w:tc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必须冻结</w:t>
            </w:r>
          </w:p>
        </w:tc>
      </w:tr>
      <w:tr>
        <w:trPr>
          <w:cantSplit/>
          <w:trHeight w:hRule="atLeast"/>
        </w:trPr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主体与场地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提供标准和验收指导</w:t>
            </w:r>
          </w:p>
        </w:tc>
        <w:tc>
          <w:tcPr>
            <w:tcW w:type="dxa" w:w="317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提供合法主体、场地、证照和当地合规</w:t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签约/收款/开票/交付关系</w:t>
            </w:r>
          </w:p>
        </w:tc>
      </w:tr>
      <w:tr>
        <w:trPr>
          <w:cantSplit/>
          <w:trHeight w:hRule="atLeast"/>
        </w:trPr>
        <w:tc>
          <w:tcPr>
            <w:tcW w:type="dxa" w:w="141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团队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岗位模型、培训和考核模板</w:t>
            </w:r>
          </w:p>
        </w:tc>
        <w:tc>
          <w:tcPr>
            <w:tcW w:type="dxa" w:w="317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招聘、薪酬、日常管理和人员成本</w:t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人数、岗位、培训次数和淘汰标准</w:t>
            </w:r>
          </w:p>
        </w:tc>
      </w:tr>
      <w:tr>
        <w:trPr>
          <w:cantSplit/>
          <w:trHeight w:hRule="atLeast"/>
        </w:trPr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获客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提供已批准内容、直播和私域方法</w:t>
            </w:r>
          </w:p>
        </w:tc>
        <w:tc>
          <w:tcPr>
            <w:tcW w:type="dxa" w:w="317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账号、拍摄、投流、线索处理和本地执行</w:t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账号数据、预算、线索归属和投诉</w:t>
            </w:r>
          </w:p>
        </w:tc>
      </w:tr>
      <w:tr>
        <w:trPr>
          <w:cantSplit/>
          <w:trHeight w:hRule="atLeast"/>
        </w:trPr>
        <w:tc>
          <w:tcPr>
            <w:tcW w:type="dxa" w:w="141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课程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课程产品、师资标准和质量审核</w:t>
            </w:r>
          </w:p>
        </w:tc>
        <w:tc>
          <w:tcPr>
            <w:tcW w:type="dxa" w:w="317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场地、组织、学员服务和当地成本</w:t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排期、班额、师资、分账和退款</w:t>
            </w:r>
          </w:p>
        </w:tc>
      </w:tr>
      <w:tr>
        <w:trPr>
          <w:cantSplit/>
          <w:trHeight w:hRule="atLeast"/>
        </w:trPr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后端交付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已冻结项目的交付标准和总部协作</w:t>
            </w:r>
          </w:p>
        </w:tc>
        <w:tc>
          <w:tcPr>
            <w:tcW w:type="dxa" w:w="317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客户信息完整交接和本地服务</w:t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交付主体、SLA、验收、售后责任</w:t>
            </w:r>
          </w:p>
        </w:tc>
      </w:tr>
      <w:tr>
        <w:trPr>
          <w:cantSplit/>
          <w:trHeight w:hRule="atLeast"/>
        </w:trPr>
        <w:tc>
          <w:tcPr>
            <w:tcW w:type="dxa" w:w="141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经营治理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总控指标、复盘机制和升级支持</w:t>
            </w:r>
          </w:p>
        </w:tc>
        <w:tc>
          <w:tcPr>
            <w:tcW w:type="dxa" w:w="317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真实填报、对账、纳税和当地风险处置</w:t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分账基数、成本口径、审计和退出</w:t>
            </w:r>
          </w:p>
        </w:tc>
      </w:tr>
    </w:tbl>
    <w:p>
      <w:pPr>
        <w:spacing w:after="0"/>
      </w:pPr>
    </w:p>
    <w:p>
      <w:r>
        <w:rPr>
          <w:rFonts w:ascii="HarmonyOS Sans SC" w:hAnsi="HarmonyOS Sans SC" w:eastAsia="HarmonyOS Sans SC"/>
        </w:rPr>
        <w:t>准入建议：企业主体通过尽调；核心负责人全职；具备至少一套直播/私域/课程执行团队；有独立经营预算和不少于约定周期的现金流；接受数据审计和品牌规则。具体数量不得在签约前口头承诺。</w:t>
      </w:r>
    </w:p>
    <w:p>
      <w:pPr>
        <w:pStyle w:val="Heading1"/>
      </w:pPr>
      <w:r>
        <w:t>七、D/E档｜战略专项方案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FCEDE6"/>
            <w:tcBorders>
              <w:top w:val="single" w:sz="8" w:color="E86A33"/>
              <w:left w:val="single" w:sz="8" w:color="E86A33"/>
              <w:bottom w:val="single" w:sz="8" w:color="E86A33"/>
              <w:right w:val="single" w:sz="8" w:color="E86A33"/>
              <w:insideH w:val="single" w:sz="8" w:color="E86A33"/>
              <w:insideV w:val="single" w:sz="8" w:color="E86A33"/>
            </w:tcBorders>
          </w:tcPr>
          <w:p>
            <w:pPr>
              <w:spacing w:after="40"/>
            </w:pPr>
            <w:r>
              <w:rPr>
                <w:rFonts w:ascii="HarmonyOS Sans SC" w:hAnsi="HarmonyOS Sans SC" w:eastAsia="HarmonyOS Sans SC"/>
                <w:b/>
                <w:color w:val="E86A33"/>
                <w:sz w:val="20"/>
              </w:rPr>
              <w:t>禁止货架化销售</w:t>
            </w:r>
          </w:p>
          <w:p>
            <w:pPr>
              <w:spacing w:after="0" w:line="276" w:lineRule="auto"/>
            </w:pPr>
            <w:r>
              <w:rPr>
                <w:rFonts w:ascii="HarmonyOS Sans SC" w:hAnsi="HarmonyOS Sans SC" w:eastAsia="HarmonyOS Sans SC"/>
                <w:color w:val="22312E"/>
                <w:sz w:val="19"/>
              </w:rPr>
              <w:t>100万元、200万元不得写成“升级档位”让销售现场推单。金额只能在专项范围、预算、资源、治理和风险全部测算后形成，且可能高于、低于或取消该金额。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必须先回答</w:t>
            </w:r>
          </w:p>
        </w:tc>
        <w:tc>
          <w:tcPr>
            <w:tcW w:type="dxa" w:w="374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D区域联合运营</w:t>
            </w:r>
          </w:p>
        </w:tc>
        <w:tc>
          <w:tcPr>
            <w:tcW w:type="dxa" w:w="374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E战略平台共建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业务目标</w:t>
            </w:r>
          </w:p>
        </w:tc>
        <w:tc>
          <w:tcPr>
            <w:tcW w:type="dxa" w:w="374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哪个区域、哪些业务、解决什么经营问题</w:t>
            </w:r>
          </w:p>
        </w:tc>
        <w:tc>
          <w:tcPr>
            <w:tcW w:type="dxa" w:w="374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共同建设什么平台、项目组合或交付能力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法律关系</w:t>
            </w:r>
          </w:p>
        </w:tc>
        <w:tc>
          <w:tcPr>
            <w:tcW w:type="dxa" w:w="374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服务、许可、联合经营或其他真实关系</w:t>
            </w:r>
          </w:p>
        </w:tc>
        <w:tc>
          <w:tcPr>
            <w:tcW w:type="dxa" w:w="374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公司合作、合资、投资或其他结构需专业意见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资金性质</w:t>
            </w:r>
          </w:p>
        </w:tc>
        <w:tc>
          <w:tcPr>
            <w:tcW w:type="dxa" w:w="374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服务/资源/运营预算如何拆分</w:t>
            </w:r>
          </w:p>
        </w:tc>
        <w:tc>
          <w:tcPr>
            <w:tcW w:type="dxa" w:w="374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资金用途、监管账户、审批权限和损失承担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治理</w:t>
            </w:r>
          </w:p>
        </w:tc>
        <w:tc>
          <w:tcPr>
            <w:tcW w:type="dxa" w:w="374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双方负责人、预算、重大事项、数据和审计</w:t>
            </w:r>
          </w:p>
        </w:tc>
        <w:tc>
          <w:tcPr>
            <w:tcW w:type="dxa" w:w="374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董事会/委员会、授权矩阵、关联交易和风控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退出</w:t>
            </w:r>
          </w:p>
        </w:tc>
        <w:tc>
          <w:tcPr>
            <w:tcW w:type="dxa" w:w="374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里程碑失败、违约、品牌撤回和客户交接</w:t>
            </w:r>
          </w:p>
        </w:tc>
        <w:tc>
          <w:tcPr>
            <w:tcW w:type="dxa" w:w="374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终止、清算、知识产权、数据迁移和争议</w:t>
            </w:r>
          </w:p>
        </w:tc>
      </w:tr>
    </w:tbl>
    <w:p>
      <w:pPr>
        <w:spacing w:after="0"/>
      </w:pPr>
    </w:p>
    <w:p>
      <w:pPr>
        <w:pStyle w:val="Heading1"/>
      </w:pPr>
      <w:r>
        <w:t>八、后端产品必须单列的经营预算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预算项目</w:t>
            </w:r>
          </w:p>
        </w:tc>
        <w:tc>
          <w:tcPr>
            <w:tcW w:type="dxa" w:w="266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A/B</w:t>
            </w:r>
          </w:p>
        </w:tc>
        <w:tc>
          <w:tcPr>
            <w:tcW w:type="dxa" w:w="266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C</w:t>
            </w:r>
          </w:p>
        </w:tc>
        <w:tc>
          <w:tcPr>
            <w:tcW w:type="dxa" w:w="266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D/E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合同服务/合作费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19,800/69,800讨论价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298,000讨论价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专项测算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平台保证金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客户向平台支付，另列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按账号和主体另列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专项另列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货款/履约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客户经营资金，另列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城市经营预算，另列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项目预算和审批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投流/获客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客户自行决定并承担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城市预算和权限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专项预算与审计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人员/场地/设备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客户承担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城市合作方承担或按合同分担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专项方案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退款/售后/税费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客户经营台账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双方按主体和业务分工承担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专项风险准备与审计</w:t>
            </w:r>
          </w:p>
        </w:tc>
      </w:tr>
    </w:tbl>
    <w:p>
      <w:pPr>
        <w:spacing w:after="0"/>
      </w:pPr>
    </w:p>
    <w:p>
      <w:pPr>
        <w:pStyle w:val="Heading1"/>
      </w:pPr>
      <w:r>
        <w:t>九、利润与分账只允许用公式讲</w:t>
      </w:r>
    </w:p>
    <w:p>
      <w:pPr>
        <w:pStyle w:val="ListBullet"/>
        <w:keepLines/>
      </w:pPr>
      <w:r>
        <w:t>经营收入 = 平台或客户实际确认的含税/不含税收入口径，必须明确。</w:t>
      </w:r>
    </w:p>
    <w:p>
      <w:pPr>
        <w:pStyle w:val="ListBullet"/>
        <w:keepLines/>
      </w:pPr>
      <w:r>
        <w:t>可分配利润 = 已确认收入 - 货品/履约 - 平台费用 - 投流 - 人工 - 场地设备 - 退款售后 - 税费 - 其他合同约定成本。</w:t>
      </w:r>
    </w:p>
    <w:p>
      <w:pPr>
        <w:pStyle w:val="ListBullet"/>
        <w:keepLines/>
      </w:pPr>
      <w:r>
        <w:t>分账金额 = 可分配利润 × 书面约定比例；收入未回款、退款未结或成本未确认时不得提前按营业额分红。</w:t>
      </w:r>
    </w:p>
    <w:p>
      <w:pPr>
        <w:pStyle w:val="ListBullet"/>
        <w:keepLines/>
      </w:pPr>
      <w:r>
        <w:t>课程费、服务费、经营收入和代收款分账口径不同，不得混为一个“业绩”。</w:t>
      </w:r>
    </w:p>
    <w:p>
      <w:pPr>
        <w:pStyle w:val="ListBullet"/>
        <w:keepLines/>
      </w:pPr>
      <w:r>
        <w:t>所有案例必须同时展示主体、周期、字段、投入、成本、退款和适用条件。</w:t>
      </w:r>
    </w:p>
    <w:p>
      <w:pPr>
        <w:pStyle w:val="Heading1"/>
      </w:pPr>
      <w:r>
        <w:t>十、账号、货物、客户和数据权属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81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资产</w:t>
            </w:r>
          </w:p>
        </w:tc>
        <w:tc>
          <w:tcPr>
            <w:tcW w:type="dxa" w:w="345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默认建议</w:t>
            </w:r>
          </w:p>
        </w:tc>
        <w:tc>
          <w:tcPr>
            <w:tcW w:type="dxa" w:w="453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合同必须写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经营主体/店铺账号</w:t>
            </w:r>
          </w:p>
        </w:tc>
        <w:tc>
          <w:tcPr>
            <w:tcW w:type="dxa" w:w="345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由实际经营主体实名持有</w:t>
            </w:r>
          </w:p>
        </w:tc>
        <w:tc>
          <w:tcPr>
            <w:tcW w:type="dxa" w:w="45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注册、管理权限、封禁、迁移和退出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货物和库存</w:t>
            </w:r>
          </w:p>
        </w:tc>
        <w:tc>
          <w:tcPr>
            <w:tcW w:type="dxa" w:w="345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谁采购谁所有，另有约定除外</w:t>
            </w:r>
          </w:p>
        </w:tc>
        <w:tc>
          <w:tcPr>
            <w:tcW w:type="dxa" w:w="45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采购、仓储、损耗、滞销、召回和清算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广告/内容账号</w:t>
            </w:r>
          </w:p>
        </w:tc>
        <w:tc>
          <w:tcPr>
            <w:tcW w:type="dxa" w:w="345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按出资和运营主体分别确认</w:t>
            </w:r>
          </w:p>
        </w:tc>
        <w:tc>
          <w:tcPr>
            <w:tcW w:type="dxa" w:w="45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管理员、素材、粉丝、违规和离场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客户线索</w:t>
            </w:r>
          </w:p>
        </w:tc>
        <w:tc>
          <w:tcPr>
            <w:tcW w:type="dxa" w:w="345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按收集主体、告知同意和合作目的使用</w:t>
            </w:r>
          </w:p>
        </w:tc>
        <w:tc>
          <w:tcPr>
            <w:tcW w:type="dxa" w:w="45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归属、共享、导出、删除、投诉和退出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经营数据</w:t>
            </w:r>
          </w:p>
        </w:tc>
        <w:tc>
          <w:tcPr>
            <w:tcW w:type="dxa" w:w="345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真实记录并按最小权限共享</w:t>
            </w:r>
          </w:p>
        </w:tc>
        <w:tc>
          <w:tcPr>
            <w:tcW w:type="dxa" w:w="453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口径、查看权、审计权、保存期限和迁移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知识产权</w:t>
            </w:r>
          </w:p>
        </w:tc>
        <w:tc>
          <w:tcPr>
            <w:tcW w:type="dxa" w:w="345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原有资产归原权利人，新成果另约定</w:t>
            </w:r>
          </w:p>
        </w:tc>
        <w:tc>
          <w:tcPr>
            <w:tcW w:type="dxa" w:w="453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商标、课件、SOP、代码、内容和授权终止</w:t>
            </w:r>
          </w:p>
        </w:tc>
      </w:tr>
    </w:tbl>
    <w:p>
      <w:pPr>
        <w:spacing w:after="0"/>
      </w:pPr>
    </w:p>
    <w:p>
      <w:pPr>
        <w:pStyle w:val="Heading1"/>
      </w:pPr>
      <w:r>
        <w:t>十一、退款、退出和失败处理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  <w:cantSplit/>
        </w:trPr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情形</w:t>
            </w:r>
          </w:p>
        </w:tc>
        <w:tc>
          <w:tcPr>
            <w:tcW w:type="dxa" w:w="7483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处理框架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客户未提交资料/未执行</w:t>
            </w:r>
          </w:p>
        </w:tc>
        <w:tc>
          <w:tcPr>
            <w:tcW w:type="dxa" w:w="7483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书面催告、调整排期、确认已交付和未交付，不承诺自动退款或自动延长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我方延期/部分履约</w:t>
            </w:r>
          </w:p>
        </w:tc>
        <w:tc>
          <w:tcPr>
            <w:tcW w:type="dxa" w:w="7483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提出补救、调整里程碑；无法完成部分按合同处理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平台规则变化/项目下架</w:t>
            </w:r>
          </w:p>
        </w:tc>
        <w:tc>
          <w:tcPr>
            <w:tcW w:type="dxa" w:w="7483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停止新销售，评估替代方案；客户有权决定接受调整或按合同结算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经营亏损</w:t>
            </w:r>
          </w:p>
        </w:tc>
        <w:tc>
          <w:tcPr>
            <w:tcW w:type="dxa" w:w="7483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先核收入、成本、责任和违规；无保本约定，不以新客户资金填补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重大违规/品牌风险</w:t>
            </w:r>
          </w:p>
        </w:tc>
        <w:tc>
          <w:tcPr>
            <w:tcW w:type="dxa" w:w="7483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立即暂停权限和公开传播，保全证据，按违约和退出机制处理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机构合作终止</w:t>
            </w:r>
          </w:p>
        </w:tc>
        <w:tc>
          <w:tcPr>
            <w:tcW w:type="dxa" w:w="7483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客户、数据、账号、库存、应收应退、品牌材料和在途交付逐项清算</w:t>
            </w:r>
          </w:p>
        </w:tc>
      </w:tr>
    </w:tbl>
    <w:p>
      <w:pPr>
        <w:spacing w:after="0"/>
      </w:pPr>
    </w:p>
    <w:p>
      <w:pPr>
        <w:pStyle w:val="Heading1"/>
      </w:pPr>
      <w:r>
        <w:t>十二、转介绍与推荐佣金边界</w:t>
      </w:r>
    </w:p>
    <w:p>
      <w:pPr>
        <w:pStyle w:val="ListBullet"/>
        <w:keepLines/>
      </w:pPr>
      <w:r>
        <w:t>推荐佣金不属于A-E任一产品的默认权益，购买产品不能自动取得招商或代理身份。</w:t>
      </w:r>
    </w:p>
    <w:p>
      <w:pPr>
        <w:pStyle w:val="ListBullet"/>
        <w:keepLines/>
      </w:pPr>
      <w:r>
        <w:t>只允许直接推荐，禁止多层级、团队计酬、发展下线和以购买金额决定返佣层级。</w:t>
      </w:r>
    </w:p>
    <w:p>
      <w:pPr>
        <w:pStyle w:val="ListBullet"/>
        <w:keepLines/>
      </w:pPr>
      <w:r>
        <w:t>只有真实客户、真实合同、实际付款并经过退款核验节点后，才能按书面政策计算。</w:t>
      </w:r>
    </w:p>
    <w:p>
      <w:pPr>
        <w:pStyle w:val="ListBullet"/>
        <w:keepLines/>
      </w:pPr>
      <w:r>
        <w:t>退款、拒付、虚假交易、关联交易或销售违规时，按书面规则暂停或冲回佣金。</w:t>
      </w:r>
    </w:p>
    <w:p>
      <w:pPr>
        <w:pStyle w:val="ListBullet"/>
        <w:keepLines/>
      </w:pPr>
      <w:r>
        <w:t>推荐人不得代表公司承诺价格、交付、收益、区域或合同外权益。</w:t>
      </w:r>
    </w:p>
    <w:p>
      <w:pPr>
        <w:pStyle w:val="Heading1"/>
      </w:pPr>
      <w:r>
        <w:t>十三、后端成交与签约流程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70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266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A/B</w:t>
            </w:r>
          </w:p>
        </w:tc>
        <w:tc>
          <w:tcPr>
            <w:tcW w:type="dxa" w:w="277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C</w:t>
            </w:r>
          </w:p>
        </w:tc>
        <w:tc>
          <w:tcPr>
            <w:tcW w:type="dxa" w:w="272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D/E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课程现场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只做产品说明和自愿咨询登记</w:t>
            </w:r>
          </w:p>
        </w:tc>
        <w:tc>
          <w:tcPr>
            <w:tcW w:type="dxa" w:w="277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只说明申请条件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不得展示为可购买档位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会后核验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适配、预算、项目准入</w:t>
            </w:r>
          </w:p>
        </w:tc>
        <w:tc>
          <w:tcPr>
            <w:tcW w:type="dxa" w:w="277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企业、团队、场地、预算和城市尽调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法律财税、资金来源、治理和战略尽调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方案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标准产品卡和合同</w:t>
            </w:r>
          </w:p>
        </w:tc>
        <w:tc>
          <w:tcPr>
            <w:tcW w:type="dxa" w:w="277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城市专项方案和预算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专项可研、治理和资金方案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决策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客户独立阅读与确认</w:t>
            </w:r>
          </w:p>
        </w:tc>
        <w:tc>
          <w:tcPr>
            <w:tcW w:type="dxa" w:w="277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双方授权代表评审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董事会/同等级决策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签约收款</w:t>
            </w:r>
          </w:p>
        </w:tc>
        <w:tc>
          <w:tcPr>
            <w:tcW w:type="dxa" w:w="266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产品编号全绿后对公</w:t>
            </w:r>
          </w:p>
        </w:tc>
        <w:tc>
          <w:tcPr>
            <w:tcW w:type="dxa" w:w="277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尽调和合同全绿后对公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专业审核、条件先决和监管安排完成后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交付</w:t>
            </w:r>
          </w:p>
        </w:tc>
        <w:tc>
          <w:tcPr>
            <w:tcW w:type="dxa" w:w="266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项目经理启动</w:t>
            </w:r>
          </w:p>
        </w:tc>
        <w:tc>
          <w:tcPr>
            <w:tcW w:type="dxa" w:w="277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城市PMO启动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专项治理机构启动</w:t>
            </w:r>
          </w:p>
        </w:tc>
      </w:tr>
    </w:tbl>
    <w:p>
      <w:pPr>
        <w:spacing w:after="0"/>
      </w:pPr>
    </w:p>
    <w:p>
      <w:pPr>
        <w:pStyle w:val="Heading1"/>
      </w:pPr>
      <w:r>
        <w:t>十四、后端上线冻结清单</w:t>
      </w:r>
    </w:p>
    <w:p>
      <w:pPr>
        <w:keepLines/>
        <w:ind w:left="369" w:hanging="312"/>
      </w:pPr>
      <w:r>
        <w:t>1.  A/B各选择唯一真实项目，建立正式项目卡、交付清单、成本、产能和验收。</w:t>
      </w:r>
    </w:p>
    <w:p>
      <w:pPr>
        <w:keepLines/>
        <w:ind w:left="369" w:hanging="312"/>
      </w:pPr>
      <w:r>
        <w:t>2.  确定项目涉及Temu、抖店或其他平台时的主体、平台规则、保证金、货源、发货和售后责任。</w:t>
      </w:r>
    </w:p>
    <w:p>
      <w:pPr>
        <w:keepLines/>
        <w:ind w:left="369" w:hanging="312"/>
      </w:pPr>
      <w:r>
        <w:t>3.  冻结A/B服务次数、时长、响应SLA、项目经理最大客户数和延期处理。</w:t>
      </w:r>
    </w:p>
    <w:p>
      <w:pPr>
        <w:keepLines/>
        <w:ind w:left="369" w:hanging="312"/>
      </w:pPr>
      <w:r>
        <w:t>4.  冻结C档城市、区域、品牌、招生、客户、数据、分账、审计和退出。</w:t>
      </w:r>
    </w:p>
    <w:p>
      <w:pPr>
        <w:keepLines/>
        <w:ind w:left="369" w:hanging="312"/>
      </w:pPr>
      <w:r>
        <w:t>5.  D/E取得专业法律财税意见前保持禁售，不接受自然人拼单、借贷或资金托管。</w:t>
      </w:r>
    </w:p>
    <w:p>
      <w:pPr>
        <w:keepLines/>
        <w:ind w:left="369" w:hanging="312"/>
      </w:pPr>
      <w:r>
        <w:t>6.  所有档位完成合同、风险揭示、收款开票、数据权属、退款退出和销售话术审批。</w:t>
      </w:r>
    </w:p>
    <w:p>
      <w:pPr>
        <w:pStyle w:val="Heading1"/>
      </w:pPr>
      <w:r>
        <w:t>十五、审批签字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审批角色</w:t>
            </w:r>
          </w:p>
        </w:tc>
        <w:tc>
          <w:tcPr>
            <w:tcW w:type="dxa" w:w="272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结论</w:t>
            </w:r>
          </w:p>
        </w:tc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签字</w:t>
            </w:r>
          </w:p>
        </w:tc>
        <w:tc>
          <w:tcPr>
            <w:tcW w:type="dxa" w:w="198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日期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项目负责人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产品负责人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财务负责人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法务/合规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交付负责人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64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HarmonyOS Sans SC" w:hAnsi="HarmonyOS Sans SC" w:eastAsia="HarmonyOS Sans SC"/>
        <w:color w:val="65706D"/>
        <w:sz w:val="15"/>
      </w:rPr>
      <w:t>内部讨论稿 V2.0｜未完成冻结审批前不得报价、签约或收款｜</w:t>
    </w:r>
    <w:r>
      <w:t xml:space="preserve">第 </w:t>
      <w:fldChar w:fldCharType="begin"/>
      <w:instrText xml:space="preserve"> PAGE </w:instrText>
      <w:fldChar w:fldCharType="end"/>
    </w:r>
    <w: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color="00787A"/>
      </w:pBdr>
    </w:pPr>
    <w:r>
      <w:rPr>
        <w:rFonts w:ascii="HarmonyOS Sans SC" w:hAnsi="HarmonyOS Sans SC" w:eastAsia="HarmonyOS Sans SC"/>
        <w:color w:val="00787A"/>
        <w:sz w:val="17"/>
      </w:rPr>
      <w:t>徐州创业粉项目｜产品体系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93" w:lineRule="auto"/>
    </w:pPr>
    <w:rPr>
      <w:rFonts w:ascii="HarmonyOS Sans SC" w:hAnsi="HarmonyOS Sans SC" w:eastAsia="HarmonyOS Sans SC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0078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1454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E86A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HarmonyOS Sans SC" w:hAnsi="HarmonyOS Sans SC" w:eastAsia="HarmonyOS Sans SC"/>
      <w:b/>
      <w:color w:val="00787A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200" w:after="100"/>
    </w:pPr>
    <w:rPr>
      <w:rFonts w:asciiTheme="majorHAnsi" w:eastAsiaTheme="majorEastAsia" w:hAnsiTheme="majorHAnsi" w:cstheme="majorBidi" w:ascii="HarmonyOS Sans SC" w:hAnsi="HarmonyOS Sans SC" w:eastAsia="HarmonyOS Sans SC"/>
      <w:b w:val="0"/>
      <w:i/>
      <w:iCs/>
      <w:color w:val="65706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HarmonyOS Sans SC" w:hAnsi="HarmonyOS Sans SC" w:eastAsia="HarmonyOS Sans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60"/>
      <w:contextualSpacing/>
    </w:pPr>
    <w:rPr>
      <w:rFonts w:ascii="HarmonyOS Sans SC" w:hAnsi="HarmonyOS Sans SC" w:eastAsia="HarmonyOS Sans S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