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中端产品卡 V2｜3天线下创业实训课</w:t>
      </w:r>
    </w:p>
    <w:p>
      <w:pPr>
        <w:pStyle w:val="Subtitle"/>
      </w:pPr>
      <w:r>
        <w:t>私域直播成交产品｜完整教学、成果验收与项目洽谈隔离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866"/>
      </w:tblGrid>
      <w:tr>
        <w:trPr>
          <w:cantSplit/>
        </w:trPr>
        <w:tc>
          <w:tcPr>
            <w:tcW w:type="dxa" w:w="9866"/>
            <w:shd w:fill="FCEDE6"/>
            <w:tcBorders>
              <w:top w:val="single" w:sz="8" w:color="E86A33"/>
              <w:left w:val="single" w:sz="8" w:color="E86A33"/>
              <w:bottom w:val="single" w:sz="8" w:color="E86A33"/>
              <w:right w:val="single" w:sz="8" w:color="E86A33"/>
              <w:insideH w:val="single" w:sz="8" w:color="E86A33"/>
              <w:insideV w:val="single" w:sz="8" w:color="E86A33"/>
            </w:tcBorders>
          </w:tcPr>
          <w:p>
            <w:pPr>
              <w:spacing w:after="40"/>
            </w:pPr>
            <w:r>
              <w:rPr>
                <w:rFonts w:ascii="HarmonyOS Sans SC" w:hAnsi="HarmonyOS Sans SC" w:eastAsia="HarmonyOS Sans SC"/>
                <w:b/>
                <w:color w:val="E86A33"/>
                <w:sz w:val="20"/>
              </w:rPr>
              <w:t>文件状态</w:t>
            </w:r>
          </w:p>
          <w:p>
            <w:pPr>
              <w:spacing w:after="0" w:line="276" w:lineRule="auto"/>
            </w:pPr>
            <w:r>
              <w:rPr>
                <w:rFonts w:ascii="HarmonyOS Sans SC" w:hAnsi="HarmonyOS Sans SC" w:eastAsia="HarmonyOS Sans SC"/>
                <w:color w:val="22312E"/>
                <w:sz w:val="19"/>
              </w:rPr>
              <w:t>内部产品设计与冻结稿。凡标注“建议”“待冻结”“专项方案”的内容均不是已承诺权益；未取得产品、财务、法务、交付四方批准前，不得用于直播、私域、会场报价、意向金收取或签约。</w:t>
            </w:r>
          </w:p>
        </w:tc>
      </w:tr>
    </w:tbl>
    <w:p>
      <w:pPr>
        <w:spacing w:after="0"/>
      </w:pPr>
    </w:p>
    <w:p>
      <w:pPr>
        <w:pStyle w:val="Heading1"/>
      </w:pPr>
      <w:r>
        <w:t>一、产品定位</w:t>
      </w:r>
    </w:p>
    <w:p>
      <w:r>
        <w:rPr>
          <w:rFonts w:ascii="HarmonyOS Sans SC" w:hAnsi="HarmonyOS Sans SC" w:eastAsia="HarmonyOS Sans SC"/>
        </w:rPr>
        <w:t>这是一门三天线下创业实训课程，不是三天招商会。学员通过真实需求、最小经营方案、经营测算、模拟咨询、项目尽调和行动计划，形成一次可验收的创业验证。即使不购买任何后端项目，也必须获得全部课程成果。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9866"/>
      </w:tblGrid>
      <w:tr>
        <w:trPr>
          <w:cantSplit/>
        </w:trPr>
        <w:tc>
          <w:tcPr>
            <w:tcW w:type="dxa" w:w="9866"/>
            <w:shd w:fill="E7F3F2"/>
            <w:tcBorders>
              <w:top w:val="single" w:sz="8" w:color="145456"/>
              <w:left w:val="single" w:sz="8" w:color="145456"/>
              <w:bottom w:val="single" w:sz="8" w:color="145456"/>
              <w:right w:val="single" w:sz="8" w:color="145456"/>
              <w:insideH w:val="single" w:sz="8" w:color="145456"/>
              <w:insideV w:val="single" w:sz="8" w:color="145456"/>
            </w:tcBorders>
          </w:tcPr>
          <w:p>
            <w:pPr>
              <w:spacing w:after="40"/>
            </w:pPr>
            <w:r>
              <w:rPr>
                <w:rFonts w:ascii="HarmonyOS Sans SC" w:hAnsi="HarmonyOS Sans SC" w:eastAsia="HarmonyOS Sans SC"/>
                <w:b/>
                <w:color w:val="145456"/>
                <w:sz w:val="20"/>
              </w:rPr>
              <w:t>毕业标准</w:t>
            </w:r>
          </w:p>
          <w:p>
            <w:pPr>
              <w:spacing w:after="0" w:line="276" w:lineRule="auto"/>
            </w:pPr>
            <w:r>
              <w:rPr>
                <w:rFonts w:ascii="HarmonyOS Sans SC" w:hAnsi="HarmonyOS Sans SC" w:eastAsia="HarmonyOS Sans SC"/>
                <w:color w:val="22312E"/>
                <w:sz w:val="19"/>
              </w:rPr>
              <w:t>不是听完三天，也不是交后端项目款，而是完成个人条件盘点、最小经营包、经营测算、适配报告和行动计划，并能说明继续、补条件或停止的依据。</w:t>
            </w:r>
          </w:p>
        </w:tc>
      </w:tr>
    </w:tbl>
    <w:p>
      <w:pPr>
        <w:spacing w:after="0"/>
      </w:pPr>
    </w:p>
    <w:p>
      <w:pPr>
        <w:pStyle w:val="Heading1"/>
      </w:pPr>
      <w:r>
        <w:t>二、两个SKU的建议区分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rPr>
          <w:tblHeader w:val="true"/>
          <w:cantSplit/>
        </w:trPr>
        <w:tc>
          <w:tcPr>
            <w:tcW w:type="dxa" w:w="1814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SKU</w:t>
            </w:r>
          </w:p>
        </w:tc>
        <w:tc>
          <w:tcPr>
            <w:tcW w:type="dxa" w:w="1417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讨论价格</w:t>
            </w:r>
          </w:p>
        </w:tc>
        <w:tc>
          <w:tcPr>
            <w:tcW w:type="dxa" w:w="4309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共同完整交付</w:t>
            </w:r>
          </w:p>
        </w:tc>
        <w:tc>
          <w:tcPr>
            <w:tcW w:type="dxa" w:w="2324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差异权益｜待核产能</w:t>
            </w:r>
          </w:p>
        </w:tc>
      </w:tr>
      <w:tr>
        <w:trPr>
          <w:cantSplit/>
          <w:trHeight w:hRule="atLeast"/>
        </w:trPr>
        <w:tc>
          <w:tcPr>
            <w:tcW w:type="dxa" w:w="181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L2-S 标准席</w:t>
            </w:r>
          </w:p>
        </w:tc>
        <w:tc>
          <w:tcPr>
            <w:tcW w:type="dxa" w:w="1417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980元</w:t>
            </w:r>
          </w:p>
        </w:tc>
        <w:tc>
          <w:tcPr>
            <w:tcW w:type="dxa" w:w="4309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完整三天教学、资料、作业验收、集体点评、7天资料期</w:t>
            </w:r>
          </w:p>
        </w:tc>
        <w:tc>
          <w:tcPr>
            <w:tcW w:type="dxa" w:w="232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小组制验收，不含个体项目诊断</w:t>
            </w:r>
          </w:p>
        </w:tc>
      </w:tr>
      <w:tr>
        <w:trPr>
          <w:cantSplit/>
          <w:trHeight w:hRule="atLeast"/>
        </w:trPr>
        <w:tc>
          <w:tcPr>
            <w:tcW w:type="dxa" w:w="1814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L2-P 诊断席</w:t>
            </w:r>
          </w:p>
        </w:tc>
        <w:tc>
          <w:tcPr>
            <w:tcW w:type="dxa" w:w="1417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1,980元</w:t>
            </w:r>
          </w:p>
        </w:tc>
        <w:tc>
          <w:tcPr>
            <w:tcW w:type="dxa" w:w="4309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与标准席相同的完整三天教学</w:t>
            </w:r>
          </w:p>
        </w:tc>
        <w:tc>
          <w:tcPr>
            <w:tcW w:type="dxa" w:w="2324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增加一次30-45分钟个体条件诊断、书面适配摘要、建议一次30天复盘</w:t>
            </w:r>
          </w:p>
        </w:tc>
      </w:tr>
    </w:tbl>
    <w:p>
      <w:pPr>
        <w:spacing w:after="0"/>
      </w:pPr>
    </w:p>
    <w:p>
      <w:r>
        <w:rPr>
          <w:rFonts w:ascii="HarmonyOS Sans SC" w:hAnsi="HarmonyOS Sans SC" w:eastAsia="HarmonyOS Sans SC"/>
        </w:rPr>
        <w:t>两个SKU都必须完整交付三天课程。1980元不能只是“更容易进入后端项目”，980元也不能被故意做成缺课、缺资料或无法结业的引流席。</w:t>
      </w:r>
    </w:p>
    <w:p>
      <w:pPr>
        <w:pStyle w:val="Heading1"/>
      </w:pPr>
      <w:r>
        <w:t>三、报名准入与劝退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89"/>
        <w:gridCol w:w="3289"/>
        <w:gridCol w:w="3289"/>
      </w:tblGrid>
      <w:tr>
        <w:trPr>
          <w:tblHeader w:val="true"/>
          <w:cantSplit/>
        </w:trPr>
        <w:tc>
          <w:tcPr>
            <w:tcW w:type="dxa" w:w="3288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报名条件</w:t>
            </w:r>
          </w:p>
        </w:tc>
        <w:tc>
          <w:tcPr>
            <w:tcW w:type="dxa" w:w="3288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需要补充核验</w:t>
            </w:r>
          </w:p>
        </w:tc>
        <w:tc>
          <w:tcPr>
            <w:tcW w:type="dxa" w:w="3288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建议劝退/暂缓</w:t>
            </w:r>
          </w:p>
        </w:tc>
      </w:tr>
      <w:tr>
        <w:trPr>
          <w:cantSplit/>
          <w:trHeight w:hRule="atLeast"/>
        </w:trPr>
        <w:tc>
          <w:tcPr>
            <w:tcW w:type="dxa" w:w="3288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成年人；理解课程性质；能连续参加三天；愿意完成作业；接受不保证收益</w:t>
            </w:r>
          </w:p>
        </w:tc>
        <w:tc>
          <w:tcPr>
            <w:tcW w:type="dxa" w:w="3288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使用借款学费；家庭成员反对；有严重债务压力；期待代运营；涉及未成年人或无授权企业代表</w:t>
            </w:r>
          </w:p>
        </w:tc>
        <w:tc>
          <w:tcPr>
            <w:tcW w:type="dxa" w:w="3288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要求保本或固定回报；拒绝披露基本投入边界；不能参加核心课时；只来现场找投资项目</w:t>
            </w:r>
          </w:p>
        </w:tc>
      </w:tr>
    </w:tbl>
    <w:p>
      <w:pPr>
        <w:spacing w:after="0"/>
      </w:pPr>
    </w:p>
    <w:p>
      <w:pPr>
        <w:pStyle w:val="Heading1"/>
      </w:pPr>
      <w:r>
        <w:t>四、三天课程成果</w:t>
      </w:r>
    </w:p>
    <w:p>
      <w:pPr>
        <w:keepLines/>
        <w:ind w:left="369" w:hanging="312"/>
      </w:pPr>
      <w:r>
        <w:t>1.  《个人创业条件盘点表》。</w:t>
      </w:r>
    </w:p>
    <w:p>
      <w:pPr>
        <w:keepLines/>
        <w:ind w:left="369" w:hanging="312"/>
      </w:pPr>
      <w:r>
        <w:t>2.  《个人能力与风险测评表》。</w:t>
      </w:r>
    </w:p>
    <w:p>
      <w:pPr>
        <w:keepLines/>
        <w:ind w:left="369" w:hanging="312"/>
      </w:pPr>
      <w:r>
        <w:t>3.  《目标客户卡》和《一页创业假设卡》。</w:t>
      </w:r>
    </w:p>
    <w:p>
      <w:pPr>
        <w:keepLines/>
        <w:ind w:left="369" w:hanging="312"/>
      </w:pPr>
      <w:r>
        <w:t>4.  最小经营包五件套：产品/服务说明、报价、获客内容、五问咨询脚本、压力情景测算表。</w:t>
      </w:r>
    </w:p>
    <w:p>
      <w:pPr>
        <w:keepLines/>
        <w:ind w:left="369" w:hanging="312"/>
      </w:pPr>
      <w:r>
        <w:t>5.  一次AI或电商基础流程实操记录，以及人工核验修改记录。</w:t>
      </w:r>
    </w:p>
    <w:p>
      <w:pPr>
        <w:keepLines/>
        <w:ind w:left="369" w:hanging="312"/>
      </w:pPr>
      <w:r>
        <w:t>6.  《单项目经营测算表》。</w:t>
      </w:r>
    </w:p>
    <w:p>
      <w:pPr>
        <w:keepLines/>
        <w:ind w:left="369" w:hanging="312"/>
      </w:pPr>
      <w:r>
        <w:t>7.  《个人项目适配报告》。</w:t>
      </w:r>
    </w:p>
    <w:p>
      <w:pPr>
        <w:keepLines/>
        <w:ind w:left="369" w:hanging="312"/>
      </w:pPr>
      <w:r>
        <w:t>8.  《7天验证计划》和《90天创业行动计划》。</w:t>
      </w:r>
    </w:p>
    <w:p>
      <w:pPr>
        <w:pStyle w:val="Heading1"/>
      </w:pPr>
      <w:r>
        <w:t>五、三天逐日产品结构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73"/>
        <w:gridCol w:w="1973"/>
        <w:gridCol w:w="1973"/>
        <w:gridCol w:w="1973"/>
        <w:gridCol w:w="1973"/>
      </w:tblGrid>
      <w:tr>
        <w:trPr>
          <w:tblHeader w:val="true"/>
          <w:cantSplit/>
        </w:trPr>
        <w:tc>
          <w:tcPr>
            <w:tcW w:type="dxa" w:w="1247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天数</w:t>
            </w:r>
          </w:p>
        </w:tc>
        <w:tc>
          <w:tcPr>
            <w:tcW w:type="dxa" w:w="2608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09:00-12:00</w:t>
            </w:r>
          </w:p>
        </w:tc>
        <w:tc>
          <w:tcPr>
            <w:tcW w:type="dxa" w:w="2721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13:30-17:30</w:t>
            </w:r>
          </w:p>
        </w:tc>
        <w:tc>
          <w:tcPr>
            <w:tcW w:type="dxa" w:w="2381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当日验收</w:t>
            </w:r>
          </w:p>
        </w:tc>
        <w:tc>
          <w:tcPr>
            <w:tcW w:type="dxa" w:w="1701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禁止事项</w:t>
            </w:r>
          </w:p>
        </w:tc>
      </w:tr>
      <w:tr>
        <w:trPr>
          <w:cantSplit/>
          <w:trHeight w:hRule="atLeast"/>
        </w:trPr>
        <w:tc>
          <w:tcPr>
            <w:tcW w:type="dxa" w:w="1247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第1天</w:t>
            </w:r>
          </w:p>
        </w:tc>
        <w:tc>
          <w:tcPr>
            <w:tcW w:type="dxa" w:w="2608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开营边界、经营闭环、目标客户、个人条件</w:t>
            </w:r>
          </w:p>
        </w:tc>
        <w:tc>
          <w:tcPr>
            <w:tcW w:type="dxa" w:w="272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创业假设、风险盘点、桌内陈述和返工</w:t>
            </w:r>
          </w:p>
        </w:tc>
        <w:tc>
          <w:tcPr>
            <w:tcW w:type="dxa" w:w="238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60秒讲清为谁解决什么问题</w:t>
            </w:r>
          </w:p>
        </w:tc>
        <w:tc>
          <w:tcPr>
            <w:tcW w:type="dxa" w:w="170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不得报价、签约或收款</w:t>
            </w:r>
          </w:p>
        </w:tc>
      </w:tr>
      <w:tr>
        <w:trPr>
          <w:cantSplit/>
          <w:trHeight w:hRule="atLeast"/>
        </w:trPr>
        <w:tc>
          <w:tcPr>
            <w:tcW w:type="dxa" w:w="1247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第2天</w:t>
            </w:r>
          </w:p>
        </w:tc>
        <w:tc>
          <w:tcPr>
            <w:tcW w:type="dxa" w:w="2608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项目流程、AI工具、产品说明与报价</w:t>
            </w:r>
          </w:p>
        </w:tc>
        <w:tc>
          <w:tcPr>
            <w:tcW w:type="dxa" w:w="272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获客内容、五问咨询、七笔账、两轮模拟</w:t>
            </w:r>
          </w:p>
        </w:tc>
        <w:tc>
          <w:tcPr>
            <w:tcW w:type="dxa" w:w="238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五件套一致并完成压力测算</w:t>
            </w:r>
          </w:p>
        </w:tc>
        <w:tc>
          <w:tcPr>
            <w:tcW w:type="dxa" w:w="170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不得开放合同咨询</w:t>
            </w:r>
          </w:p>
        </w:tc>
      </w:tr>
      <w:tr>
        <w:trPr>
          <w:cantSplit/>
          <w:trHeight w:hRule="atLeast"/>
        </w:trPr>
        <w:tc>
          <w:tcPr>
            <w:tcW w:type="dxa" w:w="1247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第3天</w:t>
            </w:r>
          </w:p>
        </w:tc>
        <w:tc>
          <w:tcPr>
            <w:tcW w:type="dxa" w:w="2608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项目比较、签约前十问、适配诊断</w:t>
            </w:r>
          </w:p>
        </w:tc>
        <w:tc>
          <w:tcPr>
            <w:tcW w:type="dxa" w:w="272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7天验证、90天计划、作品路演、结营</w:t>
            </w:r>
          </w:p>
        </w:tc>
        <w:tc>
          <w:tcPr>
            <w:tcW w:type="dxa" w:w="238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继续/补条件/停止有书面依据</w:t>
            </w:r>
          </w:p>
        </w:tc>
        <w:tc>
          <w:tcPr>
            <w:tcW w:type="dxa" w:w="170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不得挤占结营做成交</w:t>
            </w:r>
          </w:p>
        </w:tc>
      </w:tr>
      <w:tr>
        <w:trPr>
          <w:cantSplit/>
          <w:trHeight w:hRule="atLeast"/>
        </w:trPr>
        <w:tc>
          <w:tcPr>
            <w:tcW w:type="dxa" w:w="1247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自愿答疑</w:t>
            </w:r>
          </w:p>
        </w:tc>
        <w:tc>
          <w:tcPr>
            <w:tcW w:type="dxa" w:w="2608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第三天18:15以后</w:t>
            </w:r>
          </w:p>
        </w:tc>
        <w:tc>
          <w:tcPr>
            <w:tcW w:type="dxa" w:w="272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独立区域说明已冻结项目和合同</w:t>
            </w:r>
          </w:p>
        </w:tc>
        <w:tc>
          <w:tcPr>
            <w:tcW w:type="dxa" w:w="238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客户主动勾选进入</w:t>
            </w:r>
          </w:p>
        </w:tc>
        <w:tc>
          <w:tcPr>
            <w:tcW w:type="dxa" w:w="170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5"/>
              </w:rPr>
              <w:t>资金合作不得现场成交</w:t>
            </w:r>
          </w:p>
        </w:tc>
      </w:tr>
    </w:tbl>
    <w:p>
      <w:pPr>
        <w:spacing w:after="0"/>
      </w:pPr>
    </w:p>
    <w:p>
      <w:pPr>
        <w:pStyle w:val="Heading1"/>
      </w:pPr>
      <w:r>
        <w:t>六、交付时间轴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rPr>
          <w:tblHeader w:val="true"/>
          <w:cantSplit/>
        </w:trPr>
        <w:tc>
          <w:tcPr>
            <w:tcW w:type="dxa" w:w="1587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时间</w:t>
            </w:r>
          </w:p>
        </w:tc>
        <w:tc>
          <w:tcPr>
            <w:tcW w:type="dxa" w:w="3969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动作</w:t>
            </w:r>
          </w:p>
        </w:tc>
        <w:tc>
          <w:tcPr>
            <w:tcW w:type="dxa" w:w="1984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责任角色</w:t>
            </w:r>
          </w:p>
        </w:tc>
        <w:tc>
          <w:tcPr>
            <w:tcW w:type="dxa" w:w="2494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输出</w:t>
            </w:r>
          </w:p>
        </w:tc>
      </w:tr>
      <w:tr>
        <w:trPr>
          <w:cantSplit/>
          <w:trHeight w:hRule="atLeast"/>
        </w:trPr>
        <w:tc>
          <w:tcPr>
            <w:tcW w:type="dxa" w:w="1587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D-7至D-3</w:t>
            </w:r>
          </w:p>
        </w:tc>
        <w:tc>
          <w:tcPr>
            <w:tcW w:type="dxa" w:w="3969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报名核验、课程通知、需求与隐私告知</w:t>
            </w:r>
          </w:p>
        </w:tc>
        <w:tc>
          <w:tcPr>
            <w:tcW w:type="dxa" w:w="198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班主任/客服</w:t>
            </w:r>
          </w:p>
        </w:tc>
        <w:tc>
          <w:tcPr>
            <w:tcW w:type="dxa" w:w="249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学员档案和问题清单</w:t>
            </w:r>
          </w:p>
        </w:tc>
      </w:tr>
      <w:tr>
        <w:trPr>
          <w:cantSplit/>
          <w:trHeight w:hRule="atLeast"/>
        </w:trPr>
        <w:tc>
          <w:tcPr>
            <w:tcW w:type="dxa" w:w="1587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D-2至D-1</w:t>
            </w:r>
          </w:p>
        </w:tc>
        <w:tc>
          <w:tcPr>
            <w:tcW w:type="dxa" w:w="3969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设备、课件、案例、讲师、场地和彩排</w:t>
            </w:r>
          </w:p>
        </w:tc>
        <w:tc>
          <w:tcPr>
            <w:tcW w:type="dxa" w:w="1984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总控/审核</w:t>
            </w:r>
          </w:p>
        </w:tc>
        <w:tc>
          <w:tcPr>
            <w:tcW w:type="dxa" w:w="2494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开课放行表</w:t>
            </w:r>
          </w:p>
        </w:tc>
      </w:tr>
      <w:tr>
        <w:trPr>
          <w:cantSplit/>
          <w:trHeight w:hRule="atLeast"/>
        </w:trPr>
        <w:tc>
          <w:tcPr>
            <w:tcW w:type="dxa" w:w="1587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D1-D3</w:t>
            </w:r>
          </w:p>
        </w:tc>
        <w:tc>
          <w:tcPr>
            <w:tcW w:type="dxa" w:w="3969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教学、实操、返工、验收和结营</w:t>
            </w:r>
          </w:p>
        </w:tc>
        <w:tc>
          <w:tcPr>
            <w:tcW w:type="dxa" w:w="198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讲师/助教/验收官</w:t>
            </w:r>
          </w:p>
        </w:tc>
        <w:tc>
          <w:tcPr>
            <w:tcW w:type="dxa" w:w="249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八项成果和验收记录</w:t>
            </w:r>
          </w:p>
        </w:tc>
      </w:tr>
      <w:tr>
        <w:trPr>
          <w:cantSplit/>
          <w:trHeight w:hRule="atLeast"/>
        </w:trPr>
        <w:tc>
          <w:tcPr>
            <w:tcW w:type="dxa" w:w="1587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D+1</w:t>
            </w:r>
          </w:p>
        </w:tc>
        <w:tc>
          <w:tcPr>
            <w:tcW w:type="dxa" w:w="3969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发送资料、结业反馈、未完作业清单</w:t>
            </w:r>
          </w:p>
        </w:tc>
        <w:tc>
          <w:tcPr>
            <w:tcW w:type="dxa" w:w="1984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班主任</w:t>
            </w:r>
          </w:p>
        </w:tc>
        <w:tc>
          <w:tcPr>
            <w:tcW w:type="dxa" w:w="2494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结课包</w:t>
            </w:r>
          </w:p>
        </w:tc>
      </w:tr>
      <w:tr>
        <w:trPr>
          <w:cantSplit/>
          <w:trHeight w:hRule="atLeast"/>
        </w:trPr>
        <w:tc>
          <w:tcPr>
            <w:tcW w:type="dxa" w:w="1587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D+3</w:t>
            </w:r>
          </w:p>
        </w:tc>
        <w:tc>
          <w:tcPr>
            <w:tcW w:type="dxa" w:w="3969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处理补交、客诉和自愿项目咨询</w:t>
            </w:r>
          </w:p>
        </w:tc>
        <w:tc>
          <w:tcPr>
            <w:tcW w:type="dxa" w:w="198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班主任/项目顾问</w:t>
            </w:r>
          </w:p>
        </w:tc>
        <w:tc>
          <w:tcPr>
            <w:tcW w:type="dxa" w:w="249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结案或转段记录</w:t>
            </w:r>
          </w:p>
        </w:tc>
      </w:tr>
      <w:tr>
        <w:trPr>
          <w:cantSplit/>
          <w:trHeight w:hRule="atLeast"/>
        </w:trPr>
        <w:tc>
          <w:tcPr>
            <w:tcW w:type="dxa" w:w="1587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D+7</w:t>
            </w:r>
          </w:p>
        </w:tc>
        <w:tc>
          <w:tcPr>
            <w:tcW w:type="dxa" w:w="3969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标准席服务期建议结束</w:t>
            </w:r>
          </w:p>
        </w:tc>
        <w:tc>
          <w:tcPr>
            <w:tcW w:type="dxa" w:w="1984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交付负责人</w:t>
            </w:r>
          </w:p>
        </w:tc>
        <w:tc>
          <w:tcPr>
            <w:tcW w:type="dxa" w:w="2494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结案记录</w:t>
            </w:r>
          </w:p>
        </w:tc>
      </w:tr>
      <w:tr>
        <w:trPr>
          <w:cantSplit/>
          <w:trHeight w:hRule="atLeast"/>
        </w:trPr>
        <w:tc>
          <w:tcPr>
            <w:tcW w:type="dxa" w:w="1587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D+30</w:t>
            </w:r>
          </w:p>
        </w:tc>
        <w:tc>
          <w:tcPr>
            <w:tcW w:type="dxa" w:w="3969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诊断席建议复盘一次</w:t>
            </w:r>
          </w:p>
        </w:tc>
        <w:tc>
          <w:tcPr>
            <w:tcW w:type="dxa" w:w="198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诊断顾问</w:t>
            </w:r>
          </w:p>
        </w:tc>
        <w:tc>
          <w:tcPr>
            <w:tcW w:type="dxa" w:w="249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复盘摘要</w:t>
            </w:r>
          </w:p>
        </w:tc>
      </w:tr>
    </w:tbl>
    <w:p>
      <w:pPr>
        <w:spacing w:after="0"/>
      </w:pPr>
    </w:p>
    <w:p>
      <w:pPr>
        <w:pStyle w:val="Heading1"/>
      </w:pPr>
      <w:r>
        <w:t>七、课程岗位与责任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89"/>
        <w:gridCol w:w="3289"/>
        <w:gridCol w:w="3289"/>
      </w:tblGrid>
      <w:tr>
        <w:trPr>
          <w:tblHeader w:val="true"/>
          <w:cantSplit/>
        </w:trPr>
        <w:tc>
          <w:tcPr>
            <w:tcW w:type="dxa" w:w="1701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岗位</w:t>
            </w:r>
          </w:p>
        </w:tc>
        <w:tc>
          <w:tcPr>
            <w:tcW w:type="dxa" w:w="5272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核心责任</w:t>
            </w:r>
          </w:p>
        </w:tc>
        <w:tc>
          <w:tcPr>
            <w:tcW w:type="dxa" w:w="3061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不得做</w:t>
            </w:r>
          </w:p>
        </w:tc>
      </w:tr>
      <w:tr>
        <w:trPr>
          <w:cantSplit/>
          <w:trHeight w:hRule="atLeast"/>
        </w:trPr>
        <w:tc>
          <w:tcPr>
            <w:tcW w:type="dxa" w:w="170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课程总控</w:t>
            </w:r>
          </w:p>
        </w:tc>
        <w:tc>
          <w:tcPr>
            <w:tcW w:type="dxa" w:w="5272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时间、设备、应急、文件版本和现场分区</w:t>
            </w:r>
          </w:p>
        </w:tc>
        <w:tc>
          <w:tcPr>
            <w:tcW w:type="dxa" w:w="306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为了成交挤占教学与结营</w:t>
            </w:r>
          </w:p>
        </w:tc>
      </w:tr>
      <w:tr>
        <w:trPr>
          <w:cantSplit/>
          <w:trHeight w:hRule="atLeast"/>
        </w:trPr>
        <w:tc>
          <w:tcPr>
            <w:tcW w:type="dxa" w:w="170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主讲</w:t>
            </w:r>
          </w:p>
        </w:tc>
        <w:tc>
          <w:tcPr>
            <w:tcW w:type="dxa" w:w="5272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讲授方法、组织练习、点评事实</w:t>
            </w:r>
          </w:p>
        </w:tc>
        <w:tc>
          <w:tcPr>
            <w:tcW w:type="dxa" w:w="306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承诺项目结果或临时加权益</w:t>
            </w:r>
          </w:p>
        </w:tc>
      </w:tr>
      <w:tr>
        <w:trPr>
          <w:cantSplit/>
          <w:trHeight w:hRule="atLeast"/>
        </w:trPr>
        <w:tc>
          <w:tcPr>
            <w:tcW w:type="dxa" w:w="170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助教/桌长</w:t>
            </w:r>
          </w:p>
        </w:tc>
        <w:tc>
          <w:tcPr>
            <w:tcW w:type="dxa" w:w="5272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核对作业、推动返工、记录问题</w:t>
            </w:r>
          </w:p>
        </w:tc>
        <w:tc>
          <w:tcPr>
            <w:tcW w:type="dxa" w:w="306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根据成交潜力修改适配结论</w:t>
            </w:r>
          </w:p>
        </w:tc>
      </w:tr>
      <w:tr>
        <w:trPr>
          <w:cantSplit/>
          <w:trHeight w:hRule="atLeast"/>
        </w:trPr>
        <w:tc>
          <w:tcPr>
            <w:tcW w:type="dxa" w:w="170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验收官</w:t>
            </w:r>
          </w:p>
        </w:tc>
        <w:tc>
          <w:tcPr>
            <w:tcW w:type="dxa" w:w="5272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按统一标准判通过/返工/未完成</w:t>
            </w:r>
          </w:p>
        </w:tc>
        <w:tc>
          <w:tcPr>
            <w:tcW w:type="dxa" w:w="306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把报名后端作为通过条件</w:t>
            </w:r>
          </w:p>
        </w:tc>
      </w:tr>
      <w:tr>
        <w:trPr>
          <w:cantSplit/>
          <w:trHeight w:hRule="atLeast"/>
        </w:trPr>
        <w:tc>
          <w:tcPr>
            <w:tcW w:type="dxa" w:w="170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班主任</w:t>
            </w:r>
          </w:p>
        </w:tc>
        <w:tc>
          <w:tcPr>
            <w:tcW w:type="dxa" w:w="5272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通知、资料、考勤、结案和客诉</w:t>
            </w:r>
          </w:p>
        </w:tc>
        <w:tc>
          <w:tcPr>
            <w:tcW w:type="dxa" w:w="306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未经同意长期营销</w:t>
            </w:r>
          </w:p>
        </w:tc>
      </w:tr>
      <w:tr>
        <w:trPr>
          <w:cantSplit/>
          <w:trHeight w:hRule="atLeast"/>
        </w:trPr>
        <w:tc>
          <w:tcPr>
            <w:tcW w:type="dxa" w:w="170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项目顾问</w:t>
            </w:r>
          </w:p>
        </w:tc>
        <w:tc>
          <w:tcPr>
            <w:tcW w:type="dxa" w:w="5272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只在自愿答疑区说明冻结项目</w:t>
            </w:r>
          </w:p>
        </w:tc>
        <w:tc>
          <w:tcPr>
            <w:tcW w:type="dxa" w:w="306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进入课堂提前报价或收定金</w:t>
            </w:r>
          </w:p>
        </w:tc>
      </w:tr>
      <w:tr>
        <w:trPr>
          <w:cantSplit/>
          <w:trHeight w:hRule="atLeast"/>
        </w:trPr>
        <w:tc>
          <w:tcPr>
            <w:tcW w:type="dxa" w:w="170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合规审核</w:t>
            </w:r>
          </w:p>
        </w:tc>
        <w:tc>
          <w:tcPr>
            <w:tcW w:type="dxa" w:w="5272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审查课件、案例、合同区和异常叫停</w:t>
            </w:r>
          </w:p>
        </w:tc>
        <w:tc>
          <w:tcPr>
            <w:tcW w:type="dxa" w:w="306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事后补审重大承诺</w:t>
            </w:r>
          </w:p>
        </w:tc>
      </w:tr>
    </w:tbl>
    <w:p>
      <w:pPr>
        <w:spacing w:after="0"/>
      </w:pPr>
    </w:p>
    <w:p>
      <w:pPr>
        <w:pStyle w:val="Heading1"/>
      </w:pPr>
      <w:r>
        <w:t>八、明确不包含和额外费用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89"/>
        <w:gridCol w:w="3289"/>
        <w:gridCol w:w="3289"/>
      </w:tblGrid>
      <w:tr>
        <w:trPr>
          <w:tblHeader w:val="true"/>
          <w:cantSplit/>
        </w:trPr>
        <w:tc>
          <w:tcPr>
            <w:tcW w:type="dxa" w:w="1701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类别</w:t>
            </w:r>
          </w:p>
        </w:tc>
        <w:tc>
          <w:tcPr>
            <w:tcW w:type="dxa" w:w="4025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课程价格内</w:t>
            </w:r>
          </w:p>
        </w:tc>
        <w:tc>
          <w:tcPr>
            <w:tcW w:type="dxa" w:w="4309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课程价格外/待确认</w:t>
            </w:r>
          </w:p>
        </w:tc>
      </w:tr>
      <w:tr>
        <w:trPr>
          <w:cantSplit/>
          <w:trHeight w:hRule="atLeast"/>
        </w:trPr>
        <w:tc>
          <w:tcPr>
            <w:tcW w:type="dxa" w:w="170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教学</w:t>
            </w:r>
          </w:p>
        </w:tc>
        <w:tc>
          <w:tcPr>
            <w:tcW w:type="dxa" w:w="4025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三天课程、资料、作业验收、规定范围内反馈</w:t>
            </w:r>
          </w:p>
        </w:tc>
        <w:tc>
          <w:tcPr>
            <w:tcW w:type="dxa" w:w="4309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额外一对一顾问、长期陪跑</w:t>
            </w:r>
          </w:p>
        </w:tc>
      </w:tr>
      <w:tr>
        <w:trPr>
          <w:cantSplit/>
          <w:trHeight w:hRule="atLeast"/>
        </w:trPr>
        <w:tc>
          <w:tcPr>
            <w:tcW w:type="dxa" w:w="170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差旅</w:t>
            </w:r>
          </w:p>
        </w:tc>
        <w:tc>
          <w:tcPr>
            <w:tcW w:type="dxa" w:w="4025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待冻结</w:t>
            </w:r>
          </w:p>
        </w:tc>
        <w:tc>
          <w:tcPr>
            <w:tcW w:type="dxa" w:w="4309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交通、住宿、餐饮原则上学员自理，必须在购买前明示</w:t>
            </w:r>
          </w:p>
        </w:tc>
      </w:tr>
      <w:tr>
        <w:trPr>
          <w:cantSplit/>
          <w:trHeight w:hRule="atLeast"/>
        </w:trPr>
        <w:tc>
          <w:tcPr>
            <w:tcW w:type="dxa" w:w="170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项目</w:t>
            </w:r>
          </w:p>
        </w:tc>
        <w:tc>
          <w:tcPr>
            <w:tcW w:type="dxa" w:w="4025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教学样本和判断方法</w:t>
            </w:r>
          </w:p>
        </w:tc>
        <w:tc>
          <w:tcPr>
            <w:tcW w:type="dxa" w:w="4309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后端服务费、保证金、货款、投流、软件、主体许可</w:t>
            </w:r>
          </w:p>
        </w:tc>
      </w:tr>
      <w:tr>
        <w:trPr>
          <w:cantSplit/>
          <w:trHeight w:hRule="atLeast"/>
        </w:trPr>
        <w:tc>
          <w:tcPr>
            <w:tcW w:type="dxa" w:w="170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经营</w:t>
            </w:r>
          </w:p>
        </w:tc>
        <w:tc>
          <w:tcPr>
            <w:tcW w:type="dxa" w:w="4025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模拟流程和测算</w:t>
            </w:r>
          </w:p>
        </w:tc>
        <w:tc>
          <w:tcPr>
            <w:tcW w:type="dxa" w:w="4309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真实经营中的人工、设备、退款、税费和损失</w:t>
            </w:r>
          </w:p>
        </w:tc>
      </w:tr>
      <w:tr>
        <w:trPr>
          <w:cantSplit/>
          <w:trHeight w:hRule="atLeast"/>
        </w:trPr>
        <w:tc>
          <w:tcPr>
            <w:tcW w:type="dxa" w:w="170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结果</w:t>
            </w:r>
          </w:p>
        </w:tc>
        <w:tc>
          <w:tcPr>
            <w:tcW w:type="dxa" w:w="4025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课程成果和适配结论</w:t>
            </w:r>
          </w:p>
        </w:tc>
        <w:tc>
          <w:tcPr>
            <w:tcW w:type="dxa" w:w="4309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平台审核、订单、营业额、利润和回本</w:t>
            </w:r>
          </w:p>
        </w:tc>
      </w:tr>
    </w:tbl>
    <w:p>
      <w:pPr>
        <w:spacing w:after="0"/>
      </w:pPr>
    </w:p>
    <w:p>
      <w:pPr>
        <w:pStyle w:val="Heading1"/>
      </w:pPr>
      <w:r>
        <w:t>九、课程验收规则</w:t>
      </w:r>
    </w:p>
    <w:p>
      <w:pPr>
        <w:pStyle w:val="ListBullet"/>
        <w:keepLines/>
      </w:pPr>
      <w:r>
        <w:t>每项成果只判“通过、返工、未完成”，填写完整不等于通过。</w:t>
      </w:r>
    </w:p>
    <w:p>
      <w:pPr>
        <w:pStyle w:val="ListBullet"/>
        <w:keepLines/>
      </w:pPr>
      <w:r>
        <w:t>学员缺席、早退、拒绝实操或未提交成果时，按冻结的补课和补交规则处理。</w:t>
      </w:r>
    </w:p>
    <w:p>
      <w:pPr>
        <w:pStyle w:val="ListBullet"/>
        <w:keepLines/>
      </w:pPr>
      <w:r>
        <w:t>课程结业在后端项目答疑前完成；后端购买与否不影响结业结论。</w:t>
      </w:r>
    </w:p>
    <w:p>
      <w:pPr>
        <w:pStyle w:val="ListBullet"/>
        <w:keepLines/>
      </w:pPr>
      <w:r>
        <w:t>适配报告只基于学员提供的信息和课程内验证，不替代法律、财税、平台或投资尽调。</w:t>
      </w:r>
    </w:p>
    <w:p>
      <w:pPr>
        <w:pStyle w:val="ListBullet"/>
        <w:keepLines/>
      </w:pPr>
      <w:r>
        <w:t>最终可以判定为暂不适合任何后端产品，且不因此减少课程服务。</w:t>
      </w:r>
    </w:p>
    <w:p>
      <w:pPr>
        <w:pStyle w:val="Heading1"/>
      </w:pPr>
      <w:r>
        <w:t>十、退改与投诉建议矩阵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tblHeader w:val="true"/>
          <w:cantSplit/>
        </w:trPr>
        <w:tc>
          <w:tcPr>
            <w:tcW w:type="dxa" w:w="2268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情形</w:t>
            </w:r>
          </w:p>
        </w:tc>
        <w:tc>
          <w:tcPr>
            <w:tcW w:type="dxa" w:w="7597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处理原则｜具体数值待冻结</w:t>
            </w:r>
          </w:p>
        </w:tc>
      </w:tr>
      <w:tr>
        <w:trPr>
          <w:cantSplit/>
          <w:trHeight w:hRule="atLeast"/>
        </w:trPr>
        <w:tc>
          <w:tcPr>
            <w:tcW w:type="dxa" w:w="2268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开课前取消</w:t>
            </w:r>
          </w:p>
        </w:tc>
        <w:tc>
          <w:tcPr>
            <w:tcW w:type="dxa" w:w="7597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按通知时限、已发生场地/资料成本和现行规则处理</w:t>
            </w:r>
          </w:p>
        </w:tc>
      </w:tr>
      <w:tr>
        <w:trPr>
          <w:cantSplit/>
          <w:trHeight w:hRule="atLeast"/>
        </w:trPr>
        <w:tc>
          <w:tcPr>
            <w:tcW w:type="dxa" w:w="2268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开课后退出</w:t>
            </w:r>
          </w:p>
        </w:tc>
        <w:tc>
          <w:tcPr>
            <w:tcW w:type="dxa" w:w="7597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核对已完成天数、已发资料、已使用诊断和可退部分</w:t>
            </w:r>
          </w:p>
        </w:tc>
      </w:tr>
      <w:tr>
        <w:trPr>
          <w:cantSplit/>
          <w:trHeight w:hRule="atLeast"/>
        </w:trPr>
        <w:tc>
          <w:tcPr>
            <w:tcW w:type="dxa" w:w="2268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学员缺席</w:t>
            </w:r>
          </w:p>
        </w:tc>
        <w:tc>
          <w:tcPr>
            <w:tcW w:type="dxa" w:w="7597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说明是否允许转期、补课或仅领取资料，不默认视为完整到课</w:t>
            </w:r>
          </w:p>
        </w:tc>
      </w:tr>
      <w:tr>
        <w:trPr>
          <w:cantSplit/>
          <w:trHeight w:hRule="atLeast"/>
        </w:trPr>
        <w:tc>
          <w:tcPr>
            <w:tcW w:type="dxa" w:w="2268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主办方取消/改期</w:t>
            </w:r>
          </w:p>
        </w:tc>
        <w:tc>
          <w:tcPr>
            <w:tcW w:type="dxa" w:w="7597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明确通知、改期选择、退款路径和差旅争议处理</w:t>
            </w:r>
          </w:p>
        </w:tc>
      </w:tr>
      <w:tr>
        <w:trPr>
          <w:cantSplit/>
          <w:trHeight w:hRule="atLeast"/>
        </w:trPr>
        <w:tc>
          <w:tcPr>
            <w:tcW w:type="dxa" w:w="2268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课程未按承诺交付</w:t>
            </w:r>
          </w:p>
        </w:tc>
        <w:tc>
          <w:tcPr>
            <w:tcW w:type="dxa" w:w="7597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先补交或整改；无法完成时按合同和规则处理退款</w:t>
            </w:r>
          </w:p>
        </w:tc>
      </w:tr>
      <w:tr>
        <w:trPr>
          <w:cantSplit/>
          <w:trHeight w:hRule="atLeast"/>
        </w:trPr>
        <w:tc>
          <w:tcPr>
            <w:tcW w:type="dxa" w:w="2268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后端项目争议</w:t>
            </w:r>
          </w:p>
        </w:tc>
        <w:tc>
          <w:tcPr>
            <w:tcW w:type="dxa" w:w="7597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与课程订单分开建单，不能用后端争议否定已完成课程，也不能反向抵消</w:t>
            </w:r>
          </w:p>
        </w:tc>
      </w:tr>
    </w:tbl>
    <w:p>
      <w:pPr>
        <w:spacing w:after="0"/>
      </w:pPr>
    </w:p>
    <w:p>
      <w:pPr>
        <w:pStyle w:val="Heading1"/>
      </w:pPr>
      <w:r>
        <w:t>十一、后端项目洽谈全绿Gate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33"/>
        <w:gridCol w:w="4933"/>
      </w:tblGrid>
      <w:tr>
        <w:trPr>
          <w:tblHeader w:val="true"/>
          <w:cantSplit/>
        </w:trPr>
        <w:tc>
          <w:tcPr>
            <w:tcW w:type="dxa" w:w="1134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Gate</w:t>
            </w:r>
          </w:p>
        </w:tc>
        <w:tc>
          <w:tcPr>
            <w:tcW w:type="dxa" w:w="8731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条件</w:t>
            </w:r>
          </w:p>
        </w:tc>
      </w:tr>
      <w:tr>
        <w:trPr>
          <w:cantSplit/>
          <w:trHeight w:hRule="atLeast"/>
        </w:trPr>
        <w:tc>
          <w:tcPr>
            <w:tcW w:type="dxa" w:w="113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G0</w:t>
            </w:r>
          </w:p>
        </w:tc>
        <w:tc>
          <w:tcPr>
            <w:tcW w:type="dxa" w:w="873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课程成果验收完成，学员主动勾选参加项目答疑</w:t>
            </w:r>
          </w:p>
        </w:tc>
      </w:tr>
      <w:tr>
        <w:trPr>
          <w:cantSplit/>
          <w:trHeight w:hRule="atLeast"/>
        </w:trPr>
        <w:tc>
          <w:tcPr>
            <w:tcW w:type="dxa" w:w="1134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G1</w:t>
            </w:r>
          </w:p>
        </w:tc>
        <w:tc>
          <w:tcPr>
            <w:tcW w:type="dxa" w:w="873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项目SKU、价格、费用性质、交付、不包含项、验收、退款退出冻结</w:t>
            </w:r>
          </w:p>
        </w:tc>
      </w:tr>
      <w:tr>
        <w:trPr>
          <w:cantSplit/>
          <w:trHeight w:hRule="atLeast"/>
        </w:trPr>
        <w:tc>
          <w:tcPr>
            <w:tcW w:type="dxa" w:w="113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G2</w:t>
            </w:r>
          </w:p>
        </w:tc>
        <w:tc>
          <w:tcPr>
            <w:tcW w:type="dxa" w:w="873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签约、收款、开票、交付和售后主体关系书面说明</w:t>
            </w:r>
          </w:p>
        </w:tc>
      </w:tr>
      <w:tr>
        <w:trPr>
          <w:cantSplit/>
          <w:trHeight w:hRule="atLeast"/>
        </w:trPr>
        <w:tc>
          <w:tcPr>
            <w:tcW w:type="dxa" w:w="1134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G3</w:t>
            </w:r>
          </w:p>
        </w:tc>
        <w:tc>
          <w:tcPr>
            <w:tcW w:type="dxa" w:w="873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客户适配、资金来源、额外投入和风险承受完成核验</w:t>
            </w:r>
          </w:p>
        </w:tc>
      </w:tr>
      <w:tr>
        <w:trPr>
          <w:cantSplit/>
          <w:trHeight w:hRule="atLeast"/>
        </w:trPr>
        <w:tc>
          <w:tcPr>
            <w:tcW w:type="dxa" w:w="113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G4</w:t>
            </w:r>
          </w:p>
        </w:tc>
        <w:tc>
          <w:tcPr>
            <w:tcW w:type="dxa" w:w="873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产品卡、项目证据、合同、风险揭示和销售话术均为批准版本</w:t>
            </w:r>
          </w:p>
        </w:tc>
      </w:tr>
      <w:tr>
        <w:trPr>
          <w:cantSplit/>
          <w:trHeight w:hRule="atLeast"/>
        </w:trPr>
        <w:tc>
          <w:tcPr>
            <w:tcW w:type="dxa" w:w="1134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G5</w:t>
            </w:r>
          </w:p>
        </w:tc>
        <w:tc>
          <w:tcPr>
            <w:tcW w:type="dxa" w:w="873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交付负责人确认产能和最早启动时间</w:t>
            </w:r>
          </w:p>
        </w:tc>
      </w:tr>
      <w:tr>
        <w:trPr>
          <w:cantSplit/>
          <w:trHeight w:hRule="atLeast"/>
        </w:trPr>
        <w:tc>
          <w:tcPr>
            <w:tcW w:type="dxa" w:w="113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G6</w:t>
            </w:r>
          </w:p>
        </w:tc>
        <w:tc>
          <w:tcPr>
            <w:tcW w:type="dxa" w:w="873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C档及以上进入独立尽调，不在课程现场收高额款</w:t>
            </w:r>
          </w:p>
        </w:tc>
      </w:tr>
      <w:tr>
        <w:trPr>
          <w:cantSplit/>
          <w:trHeight w:hRule="atLeast"/>
        </w:trPr>
        <w:tc>
          <w:tcPr>
            <w:tcW w:type="dxa" w:w="1134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G7</w:t>
            </w:r>
          </w:p>
        </w:tc>
        <w:tc>
          <w:tcPr>
            <w:tcW w:type="dxa" w:w="873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6"/>
              </w:rPr>
              <w:t>课程退改与后端项目退款退出分别确认</w:t>
            </w:r>
          </w:p>
        </w:tc>
      </w:tr>
    </w:tbl>
    <w:p>
      <w:pPr>
        <w:spacing w:after="0"/>
      </w:pPr>
    </w:p>
    <w:p>
      <w:pPr>
        <w:pStyle w:val="Heading1"/>
      </w:pPr>
      <w:r>
        <w:t>十二、上线冻结清单</w:t>
      </w:r>
    </w:p>
    <w:p>
      <w:pPr>
        <w:keepLines/>
        <w:ind w:left="369" w:hanging="312"/>
      </w:pPr>
      <w:r>
        <w:t>1.  冻结正式课程名称、980/1980两档真实差异、班额和最低开班人数。</w:t>
      </w:r>
    </w:p>
    <w:p>
      <w:pPr>
        <w:keepLines/>
        <w:ind w:left="369" w:hanging="312"/>
      </w:pPr>
      <w:r>
        <w:t>2.  冻结日期、地点、讲师、助教、验收官、课时和迟到缺席规则。</w:t>
      </w:r>
    </w:p>
    <w:p>
      <w:pPr>
        <w:keepLines/>
        <w:ind w:left="369" w:hanging="312"/>
      </w:pPr>
      <w:r>
        <w:t>3.  冻结交通、住宿、餐饮、资料、发票、改期和退款边界。</w:t>
      </w:r>
    </w:p>
    <w:p>
      <w:pPr>
        <w:keepLines/>
        <w:ind w:left="369" w:hanging="312"/>
      </w:pPr>
      <w:r>
        <w:t>4.  完成统一课件、案例证据、八项成果模板、验收标准和返工流程。</w:t>
      </w:r>
    </w:p>
    <w:p>
      <w:pPr>
        <w:keepLines/>
        <w:ind w:left="369" w:hanging="312"/>
      </w:pPr>
      <w:r>
        <w:t>5.  完成教学区、结营区、项目答疑区和签约财务区的物理与时间隔离。</w:t>
      </w:r>
    </w:p>
    <w:p>
      <w:pPr>
        <w:keepLines/>
        <w:ind w:left="369" w:hanging="312"/>
      </w:pPr>
      <w:r>
        <w:t>6.  完成项目顾问话术、全绿Gate和签约后交付移交。</w:t>
      </w:r>
    </w:p>
    <w:p>
      <w:pPr>
        <w:pStyle w:val="Heading1"/>
      </w:pPr>
      <w:r>
        <w:t>十三、审批签字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66"/>
        <w:gridCol w:w="2466"/>
        <w:gridCol w:w="2466"/>
        <w:gridCol w:w="2466"/>
      </w:tblGrid>
      <w:tr>
        <w:trPr>
          <w:tblHeader w:val="true"/>
          <w:cantSplit/>
        </w:trPr>
        <w:tc>
          <w:tcPr>
            <w:tcW w:type="dxa" w:w="2381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审批角色</w:t>
            </w:r>
          </w:p>
        </w:tc>
        <w:tc>
          <w:tcPr>
            <w:tcW w:type="dxa" w:w="2721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结论</w:t>
            </w:r>
          </w:p>
        </w:tc>
        <w:tc>
          <w:tcPr>
            <w:tcW w:type="dxa" w:w="2381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签字</w:t>
            </w:r>
          </w:p>
        </w:tc>
        <w:tc>
          <w:tcPr>
            <w:tcW w:type="dxa" w:w="1984"/>
            <w:vAlign w:val="center"/>
            <w:shd w:fill="00787A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  <w:jc w:val="center"/>
            </w:pPr>
            <w:r/>
            <w:r>
              <w:rPr>
                <w:rFonts w:ascii="HarmonyOS Sans SC" w:hAnsi="HarmonyOS Sans SC" w:eastAsia="HarmonyOS Sans SC"/>
                <w:b/>
                <w:color w:val="FFFFFF"/>
                <w:sz w:val="17"/>
              </w:rPr>
              <w:t>日期</w:t>
            </w:r>
          </w:p>
        </w:tc>
      </w:tr>
      <w:tr>
        <w:trPr>
          <w:cantSplit/>
          <w:trHeight w:hRule="atLeast"/>
        </w:trPr>
        <w:tc>
          <w:tcPr>
            <w:tcW w:type="dxa" w:w="238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  <w:t>课程负责人</w:t>
            </w:r>
          </w:p>
        </w:tc>
        <w:tc>
          <w:tcPr>
            <w:tcW w:type="dxa" w:w="272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</w:r>
          </w:p>
        </w:tc>
        <w:tc>
          <w:tcPr>
            <w:tcW w:type="dxa" w:w="238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</w:r>
          </w:p>
        </w:tc>
        <w:tc>
          <w:tcPr>
            <w:tcW w:type="dxa" w:w="198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</w:r>
          </w:p>
        </w:tc>
      </w:tr>
      <w:tr>
        <w:trPr>
          <w:cantSplit/>
          <w:trHeight w:hRule="atLeast"/>
        </w:trPr>
        <w:tc>
          <w:tcPr>
            <w:tcW w:type="dxa" w:w="238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  <w:t>财务负责人</w:t>
            </w:r>
          </w:p>
        </w:tc>
        <w:tc>
          <w:tcPr>
            <w:tcW w:type="dxa" w:w="272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</w:r>
          </w:p>
        </w:tc>
        <w:tc>
          <w:tcPr>
            <w:tcW w:type="dxa" w:w="238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</w:r>
          </w:p>
        </w:tc>
        <w:tc>
          <w:tcPr>
            <w:tcW w:type="dxa" w:w="1984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</w:r>
          </w:p>
        </w:tc>
      </w:tr>
      <w:tr>
        <w:trPr>
          <w:cantSplit/>
          <w:trHeight w:hRule="atLeast"/>
        </w:trPr>
        <w:tc>
          <w:tcPr>
            <w:tcW w:type="dxa" w:w="238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  <w:t>合规负责人</w:t>
            </w:r>
          </w:p>
        </w:tc>
        <w:tc>
          <w:tcPr>
            <w:tcW w:type="dxa" w:w="272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</w:r>
          </w:p>
        </w:tc>
        <w:tc>
          <w:tcPr>
            <w:tcW w:type="dxa" w:w="2381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</w:r>
          </w:p>
        </w:tc>
        <w:tc>
          <w:tcPr>
            <w:tcW w:type="dxa" w:w="1984"/>
            <w:vAlign w:val="center"/>
            <w:shd w:fill="FFFFFF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keepNext/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</w:r>
          </w:p>
        </w:tc>
      </w:tr>
      <w:tr>
        <w:trPr>
          <w:cantSplit/>
          <w:trHeight w:hRule="atLeast"/>
        </w:trPr>
        <w:tc>
          <w:tcPr>
            <w:tcW w:type="dxa" w:w="238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  <w:t>交付负责人</w:t>
            </w:r>
          </w:p>
        </w:tc>
        <w:tc>
          <w:tcPr>
            <w:tcW w:type="dxa" w:w="272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</w:r>
          </w:p>
        </w:tc>
        <w:tc>
          <w:tcPr>
            <w:tcW w:type="dxa" w:w="2381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</w:r>
          </w:p>
        </w:tc>
        <w:tc>
          <w:tcPr>
            <w:tcW w:type="dxa" w:w="1984"/>
            <w:vAlign w:val="center"/>
            <w:shd w:fill="F2F4F5"/>
            <w:tcBorders>
              <w:top w:val="single" w:sz="4" w:color="D5DEDC"/>
              <w:left w:val="single" w:sz="4" w:color="D5DEDC"/>
              <w:bottom w:val="single" w:sz="4" w:color="D5DEDC"/>
              <w:right w:val="single" w:sz="4" w:color="D5DEDC"/>
              <w:insideH w:val="single" w:sz="4" w:color="D5DEDC"/>
              <w:insideV w:val="single" w:sz="4" w:color="D5DEDC"/>
            </w:tcBorders>
          </w:tcPr>
          <w:p>
            <w:pPr>
              <w:spacing w:after="0" w:line="252" w:lineRule="auto"/>
            </w:pPr>
            <w:r/>
            <w:r>
              <w:rPr>
                <w:rFonts w:ascii="HarmonyOS Sans SC" w:hAnsi="HarmonyOS Sans SC" w:eastAsia="HarmonyOS Sans SC"/>
                <w:b w:val="0"/>
                <w:color w:val="22312E"/>
                <w:sz w:val="18"/>
              </w:rPr>
            </w:r>
          </w:p>
        </w:tc>
      </w:tr>
    </w:tbl>
    <w:p>
      <w:pPr>
        <w:spacing w:after="0"/>
      </w:pPr>
    </w:p>
    <w:sectPr w:rsidR="00FC693F" w:rsidRPr="0006063C" w:rsidSect="00034616">
      <w:headerReference w:type="default" r:id="rId9"/>
      <w:footerReference w:type="default" r:id="rId10"/>
      <w:pgSz w:w="11906" w:h="16838"/>
      <w:pgMar w:top="1020" w:right="1020" w:bottom="964" w:left="1020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HarmonyOS Sans SC" w:hAnsi="HarmonyOS Sans SC" w:eastAsia="HarmonyOS Sans SC"/>
        <w:color w:val="65706D"/>
        <w:sz w:val="15"/>
      </w:rPr>
      <w:t>内部讨论稿 V2.0｜未完成冻结审批前不得报价、签约或收款｜</w:t>
    </w:r>
    <w:r>
      <w:t xml:space="preserve">第 </w:t>
      <w:fldChar w:fldCharType="begin"/>
      <w:instrText xml:space="preserve"> PAGE </w:instrText>
      <w:fldChar w:fldCharType="end"/>
    </w:r>
    <w:r>
      <w:t xml:space="preserve"> 页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8" w:color="00787A"/>
      </w:pBdr>
    </w:pPr>
    <w:r>
      <w:rPr>
        <w:rFonts w:ascii="HarmonyOS Sans SC" w:hAnsi="HarmonyOS Sans SC" w:eastAsia="HarmonyOS Sans SC"/>
        <w:color w:val="00787A"/>
        <w:sz w:val="17"/>
      </w:rPr>
      <w:t>徐州创业粉项目｜产品体系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93" w:lineRule="auto"/>
    </w:pPr>
    <w:rPr>
      <w:rFonts w:ascii="HarmonyOS Sans SC" w:hAnsi="HarmonyOS Sans SC" w:eastAsia="HarmonyOS Sans SC"/>
      <w:color w:val="22312E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00"/>
      <w:outlineLvl w:val="0"/>
    </w:pPr>
    <w:rPr>
      <w:rFonts w:asciiTheme="majorHAnsi" w:eastAsiaTheme="majorEastAsia" w:hAnsiTheme="majorHAnsi" w:cstheme="majorBidi" w:ascii="HarmonyOS Sans SC" w:hAnsi="HarmonyOS Sans SC" w:eastAsia="HarmonyOS Sans SC"/>
      <w:b/>
      <w:bCs/>
      <w:color w:val="00787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 w:ascii="HarmonyOS Sans SC" w:hAnsi="HarmonyOS Sans SC" w:eastAsia="HarmonyOS Sans SC"/>
      <w:b/>
      <w:bCs/>
      <w:color w:val="14545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HarmonyOS Sans SC" w:hAnsi="HarmonyOS Sans SC" w:eastAsia="HarmonyOS Sans SC"/>
      <w:b/>
      <w:bCs/>
      <w:color w:val="E86A33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100" w:line="240" w:lineRule="auto" w:before="0"/>
      <w:contextualSpacing/>
    </w:pPr>
    <w:rPr>
      <w:rFonts w:asciiTheme="majorHAnsi" w:eastAsiaTheme="majorEastAsia" w:hAnsiTheme="majorHAnsi" w:cstheme="majorBidi" w:ascii="HarmonyOS Sans SC" w:hAnsi="HarmonyOS Sans SC" w:eastAsia="HarmonyOS Sans SC"/>
      <w:b/>
      <w:color w:val="00787A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/>
      <w:numPr>
        <w:ilvl w:val="1"/>
      </w:numPr>
      <w:spacing w:before="200" w:after="100"/>
    </w:pPr>
    <w:rPr>
      <w:rFonts w:asciiTheme="majorHAnsi" w:eastAsiaTheme="majorEastAsia" w:hAnsiTheme="majorHAnsi" w:cstheme="majorBidi" w:ascii="HarmonyOS Sans SC" w:hAnsi="HarmonyOS Sans SC" w:eastAsia="HarmonyOS Sans SC"/>
      <w:b w:val="0"/>
      <w:i/>
      <w:iCs/>
      <w:color w:val="65706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60"/>
      <w:contextualSpacing/>
    </w:pPr>
    <w:rPr>
      <w:rFonts w:ascii="HarmonyOS Sans SC" w:hAnsi="HarmonyOS Sans SC" w:eastAsia="HarmonyOS Sans SC"/>
      <w:sz w:val="21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60"/>
      <w:contextualSpacing/>
    </w:pPr>
    <w:rPr>
      <w:rFonts w:ascii="HarmonyOS Sans SC" w:hAnsi="HarmonyOS Sans SC" w:eastAsia="HarmonyOS Sans SC"/>
      <w:sz w:val="21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