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徐州创业粉项目从-0-到-1-建设总-sop"/>
    <w:p>
      <w:pPr>
        <w:pStyle w:val="Heading1"/>
      </w:pPr>
      <w:r>
        <w:rPr>
          <w:rFonts w:hint="eastAsia"/>
        </w:rPr>
        <w:t xml:space="preserve">徐州创业粉项目从</w:t>
      </w:r>
      <w:r>
        <w:t xml:space="preserve"> 0 </w:t>
      </w:r>
      <w:r>
        <w:rPr>
          <w:rFonts w:hint="eastAsia"/>
        </w:rPr>
        <w:t xml:space="preserve">到</w:t>
      </w:r>
      <w:r>
        <w:t xml:space="preserve"> 1 </w:t>
      </w:r>
      <w:r>
        <w:rPr>
          <w:rFonts w:hint="eastAsia"/>
        </w:rPr>
        <w:t xml:space="preserve">建设总</w:t>
      </w:r>
      <w:r>
        <w:t xml:space="preserve"> SOP</w:t>
      </w:r>
    </w:p>
    <w:bookmarkStart w:id="19" w:name="阶段-0项目拍板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0：项目拍板</w:t>
      </w:r>
    </w:p>
    <w:p>
      <w:pPr>
        <w:pStyle w:val="FirstParagraph"/>
      </w:pPr>
      <w:r>
        <w:rPr>
          <w:rFonts w:hint="eastAsia"/>
        </w:rPr>
        <w:t xml:space="preserve">负责人：创始人、项目负责人、财务、交付负责人、合规审核人。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冻结三级产品名称、价格、权益、适用人群和不适用人群。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冻结四类合作模式是否保留：就业协作、个人创业、城市合作、资金合作。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冻结经营主体、收款账户、开票、合同、退款和升级抵扣政策。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给每个后端档位指定交付负责人和最大承接量。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对涉及保证金、备货款、利润分成、资金保底的方案逐项合规审查。</w:t>
      </w:r>
    </w:p>
    <w:p>
      <w:pPr>
        <w:pStyle w:val="FirstParagraph"/>
      </w:pPr>
      <w:r>
        <w:rPr>
          <w:rFonts w:hint="eastAsia"/>
        </w:rPr>
        <w:t xml:space="preserve">放行标准：所有关键决策有责任人、版本号、生效日期和签字记录。</w:t>
      </w:r>
    </w:p>
    <w:bookmarkEnd w:id="19"/>
    <w:bookmarkStart w:id="20" w:name="阶段-1产品工程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1：产品工程</w:t>
      </w:r>
    </w:p>
    <w:p>
      <w:pPr>
        <w:pStyle w:val="FirstParagraph"/>
      </w:pPr>
      <w:r>
        <w:rPr>
          <w:rFonts w:hint="eastAsia"/>
        </w:rPr>
        <w:t xml:space="preserve">负责人：产品负责人、项目交付负责人、财务。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2"/>
        </w:numPr>
      </w:pPr>
      <w:r>
        <w:t xml:space="preserve">68/98 </w:t>
      </w:r>
      <w:r>
        <w:rPr>
          <w:rFonts w:hint="eastAsia"/>
        </w:rPr>
        <w:t xml:space="preserve">元认知课形成课程大纲、预约规则、交付载体和退款说明。</w:t>
      </w:r>
    </w:p>
    <w:p>
      <w:pPr>
        <w:pStyle w:val="Compact"/>
        <w:numPr>
          <w:ilvl w:val="0"/>
          <w:numId w:val="1002"/>
        </w:numPr>
      </w:pPr>
      <w:r>
        <w:t xml:space="preserve">980/1,980 </w:t>
      </w:r>
      <w:r>
        <w:rPr>
          <w:rFonts w:hint="eastAsia"/>
        </w:rPr>
        <w:t xml:space="preserve">元训练营形成</w:t>
      </w:r>
      <w:r>
        <w:t xml:space="preserve"> 3 </w:t>
      </w:r>
      <w:r>
        <w:rPr>
          <w:rFonts w:hint="eastAsia"/>
        </w:rPr>
        <w:t xml:space="preserve">天逐小时课表、讲师、场地、物料、作业和验收。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五档后端产品分别形成一页产品卡、成本表、利润测算、合同、风险书和交付里程碑。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建立产品版本表，旧版本明确作废，不允许销售人员口头改权益。</w:t>
      </w:r>
    </w:p>
    <w:p>
      <w:pPr>
        <w:pStyle w:val="FirstParagraph"/>
      </w:pPr>
      <w:r>
        <w:rPr>
          <w:rFonts w:hint="eastAsia"/>
        </w:rPr>
        <w:t xml:space="preserve">放行标准：陌生员工能根据产品卡准确说出“卖什么、给什么、谁适合、谁不适合、发生争议怎么办”。</w:t>
      </w:r>
    </w:p>
    <w:bookmarkEnd w:id="20"/>
    <w:bookmarkStart w:id="21" w:name="阶段-2证据工程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2：证据工程</w:t>
      </w:r>
    </w:p>
    <w:p>
      <w:pPr>
        <w:pStyle w:val="FirstParagraph"/>
      </w:pPr>
      <w:r>
        <w:rPr>
          <w:rFonts w:hint="eastAsia"/>
        </w:rPr>
        <w:t xml:space="preserve">负责人：数据负责人、直营项目负责人、内容负责人、合规审核人。</w:t>
      </w:r>
    </w:p>
    <w:p>
      <w:pPr>
        <w:pStyle w:val="BodyText"/>
      </w:pPr>
      <w:r>
        <w:rPr>
          <w:rFonts w:hint="eastAsia"/>
        </w:rPr>
        <w:t xml:space="preserve">四类素材逐项目收集：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经营数据截图。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数据验真视频。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到访和帮扶记录。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客户结果反馈。</w:t>
      </w:r>
    </w:p>
    <w:p>
      <w:pPr>
        <w:pStyle w:val="FirstParagraph"/>
      </w:pPr>
      <w:r>
        <w:rPr>
          <w:rFonts w:hint="eastAsia"/>
        </w:rPr>
        <w:t xml:space="preserve">每份素材必须登记：素材编号、项目、主体、日期、统计周期、原文件、数据口径、授权范围、脱敏状态、审核人和到期日。</w:t>
      </w:r>
    </w:p>
    <w:p>
      <w:pPr>
        <w:pStyle w:val="BodyText"/>
      </w:pPr>
      <w:r>
        <w:rPr>
          <w:rFonts w:hint="eastAsia"/>
        </w:rPr>
        <w:t xml:space="preserve">放行标准：任何一张对外截图都能在</w:t>
      </w:r>
      <w:r>
        <w:t xml:space="preserve"> 3 </w:t>
      </w:r>
      <w:r>
        <w:rPr>
          <w:rFonts w:hint="eastAsia"/>
        </w:rPr>
        <w:t xml:space="preserve">分钟内找到原始文件、口径说明和授权记录。</w:t>
      </w:r>
    </w:p>
    <w:bookmarkEnd w:id="21"/>
    <w:bookmarkStart w:id="22" w:name="阶段-3公域获客工程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3：公域获客工程</w:t>
      </w:r>
    </w:p>
    <w:p>
      <w:pPr>
        <w:pStyle w:val="FirstParagraph"/>
      </w:pPr>
      <w:r>
        <w:rPr>
          <w:rFonts w:hint="eastAsia"/>
        </w:rPr>
        <w:t xml:space="preserve">负责人：运营、主播、助播、中控、评论区助理、投手。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按现行产品重写四岗位逐字稿。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准备</w:t>
      </w:r>
      <w:r>
        <w:t xml:space="preserve"> 30 </w:t>
      </w:r>
      <w:r>
        <w:rPr>
          <w:rFonts w:hint="eastAsia"/>
        </w:rPr>
        <w:t xml:space="preserve">天短视频和官方号内容排期。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配置抖音本地生活商品、门店验真、客服和售后信息。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建立投流预算、止损线、日报和归因规则。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完成不挂车彩排、敏感表达检查和异常中断演练。</w:t>
      </w:r>
    </w:p>
    <w:p>
      <w:pPr>
        <w:pStyle w:val="FirstParagraph"/>
      </w:pPr>
      <w:r>
        <w:rPr>
          <w:rFonts w:hint="eastAsia"/>
        </w:rPr>
        <w:t xml:space="preserve">放行标准：连续完成</w:t>
      </w:r>
      <w:r>
        <w:t xml:space="preserve"> 3 </w:t>
      </w:r>
      <w:r>
        <w:rPr>
          <w:rFonts w:hint="eastAsia"/>
        </w:rPr>
        <w:t xml:space="preserve">场彩排，产品、价格、权益、退款和承接动作口径一致。</w:t>
      </w:r>
    </w:p>
    <w:bookmarkEnd w:id="22"/>
    <w:bookmarkStart w:id="23" w:name="阶段-4客资承接工程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4：客资承接工程</w:t>
      </w:r>
    </w:p>
    <w:p>
      <w:pPr>
        <w:pStyle w:val="FirstParagraph"/>
      </w:pPr>
      <w:r>
        <w:rPr>
          <w:rFonts w:hint="eastAsia"/>
        </w:rPr>
        <w:t xml:space="preserve">负责人：客服主管、电话客服、微信承接、企微管理员。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重写抖音私信、电话、个人微信和流失挽回逐字稿。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统一客户标签、备注格式、跟进节点和转交规则。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明确个人微信与企业微信的边界、权限、离职继承和资料访问。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建立首联时效：成交后尽快触达；具体时限按排班和平台能力冻结。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所有线索只在公司批准的系统或表单中流转。</w:t>
      </w:r>
    </w:p>
    <w:p>
      <w:pPr>
        <w:pStyle w:val="FirstParagraph"/>
      </w:pPr>
      <w:r>
        <w:rPr>
          <w:rFonts w:hint="eastAsia"/>
        </w:rPr>
        <w:t xml:space="preserve">放行标准：随机抽查</w:t>
      </w:r>
      <w:r>
        <w:t xml:space="preserve"> 10 </w:t>
      </w:r>
      <w:r>
        <w:rPr>
          <w:rFonts w:hint="eastAsia"/>
        </w:rPr>
        <w:t xml:space="preserve">条模拟线索，订单核对、加微、建档、入群和跟进记录全部可追溯。</w:t>
      </w:r>
    </w:p>
    <w:bookmarkEnd w:id="23"/>
    <w:bookmarkStart w:id="24" w:name="阶段-5私域培育工程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5：私域培育工程</w:t>
      </w:r>
    </w:p>
    <w:p>
      <w:pPr>
        <w:pStyle w:val="FirstParagraph"/>
      </w:pPr>
      <w:r>
        <w:rPr>
          <w:rFonts w:hint="eastAsia"/>
        </w:rPr>
        <w:t xml:space="preserve">负责人：私域负责人、社群运营、销售顾问、内容负责人。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建立</w:t>
      </w:r>
      <w:r>
        <w:t xml:space="preserve"> 14 </w:t>
      </w:r>
      <w:r>
        <w:rPr>
          <w:rFonts w:hint="eastAsia"/>
        </w:rPr>
        <w:t xml:space="preserve">天朋友圈和社群内容节奏。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内容比例覆盖认知、过程、证据、答疑、风险和邀请，不连续刷屏。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只使用真实、经授权的案例；案例同步披露必要投入和适用条件。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建立客户分层：待交付、已交付、意向训练营、待考虑、不适合、售后。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私域直播前完成名单、提醒、讲稿、客服和退款预案。</w:t>
      </w:r>
    </w:p>
    <w:p>
      <w:pPr>
        <w:pStyle w:val="FirstParagraph"/>
      </w:pPr>
      <w:r>
        <w:rPr>
          <w:rFonts w:hint="eastAsia"/>
        </w:rPr>
        <w:t xml:space="preserve">放行标准：客户能清楚知道训练营学什么、不能解决什么、价格、地点、时间和退改规则。</w:t>
      </w:r>
    </w:p>
    <w:bookmarkEnd w:id="24"/>
    <w:bookmarkStart w:id="25" w:name="阶段-63-天线下训练营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6：3</w:t>
      </w:r>
      <w:r>
        <w:t xml:space="preserve"> </w:t>
      </w:r>
      <w:r>
        <w:rPr>
          <w:rFonts w:hint="eastAsia"/>
        </w:rPr>
        <w:t xml:space="preserve">天线下训练营</w:t>
      </w:r>
    </w:p>
    <w:p>
      <w:pPr>
        <w:pStyle w:val="FirstParagraph"/>
      </w:pPr>
      <w:r>
        <w:rPr>
          <w:rFonts w:hint="eastAsia"/>
        </w:rPr>
        <w:t xml:space="preserve">负责人：总教练、主持人、讲师、桌长、会务、签约审核人。</w:t>
      </w:r>
    </w:p>
    <w:p>
      <w:pPr>
        <w:pStyle w:val="BodyText"/>
      </w:pPr>
      <w:r>
        <w:rPr>
          <w:rFonts w:hint="eastAsia"/>
        </w:rPr>
        <w:t xml:space="preserve">建议结构：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天：AI</w:t>
      </w:r>
      <w:r>
        <w:t xml:space="preserve"> </w:t>
      </w:r>
      <w:r>
        <w:rPr>
          <w:rFonts w:hint="eastAsia"/>
        </w:rPr>
        <w:t xml:space="preserve">与电商创业认知、项目全景、风险识别、个人资源盘点。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天：选品、平台路径、经营算账、工具实操、真实项目拆解。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天：个人行动方案、项目适配、一对一诊断、后端方案说明。</w:t>
      </w:r>
    </w:p>
    <w:p>
      <w:pPr>
        <w:pStyle w:val="FirstParagraph"/>
      </w:pPr>
      <w:r>
        <w:rPr>
          <w:rFonts w:hint="eastAsia"/>
        </w:rPr>
        <w:t xml:space="preserve">成交动作必须与教学动作分开。客户先完成测评和方案说明，再看合同、成本、风险和退出条件；高金额方案保留合理决策时间，不现场逼单。</w:t>
      </w:r>
    </w:p>
    <w:p>
      <w:pPr>
        <w:pStyle w:val="BodyText"/>
      </w:pPr>
      <w:r>
        <w:rPr>
          <w:rFonts w:hint="eastAsia"/>
        </w:rPr>
        <w:t xml:space="preserve">放行标准：课表、签到、作业、测评、满意度、方案确认和签署证据完整。</w:t>
      </w:r>
    </w:p>
    <w:bookmarkEnd w:id="25"/>
    <w:bookmarkStart w:id="26" w:name="阶段-7后端成交与交付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7：后端成交与交付</w:t>
      </w:r>
    </w:p>
    <w:p>
      <w:pPr>
        <w:pStyle w:val="FirstParagraph"/>
      </w:pPr>
      <w:r>
        <w:rPr>
          <w:rFonts w:hint="eastAsia"/>
        </w:rPr>
        <w:t xml:space="preserve">负责人：项目顾问、合同审核人、财务、交付项目经理。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用客户适配表确定可推荐方案，不适合的客户明确拒绝成交。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合同前讲清付款性质、成本、收入来源、分润、数据权、账号权和退出机制。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收款后建立唯一客户</w:t>
      </w:r>
      <w:r>
        <w:t xml:space="preserve"> </w:t>
      </w:r>
      <w:r>
        <w:rPr>
          <w:rFonts w:hint="eastAsia"/>
        </w:rPr>
        <w:t xml:space="preserve">ID、项目群、里程碑和交付台账。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按周提供项目数据，异常、亏损、退款和延期及时书面告知。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完成阶段验收后再进入下一节点，不以群里发资料代替交付。</w:t>
      </w:r>
    </w:p>
    <w:p>
      <w:pPr>
        <w:pStyle w:val="FirstParagraph"/>
      </w:pPr>
      <w:r>
        <w:rPr>
          <w:rFonts w:hint="eastAsia"/>
        </w:rPr>
        <w:t xml:space="preserve">放行标准：合同承诺、销售口径、财务收款和交付清单四者一致。</w:t>
      </w:r>
    </w:p>
    <w:bookmarkEnd w:id="26"/>
    <w:bookmarkStart w:id="27" w:name="阶段-8结果沉淀与转介绍"/>
    <w:p>
      <w:pPr>
        <w:pStyle w:val="Heading2"/>
      </w:pP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8：结果沉淀与转介绍</w:t>
      </w:r>
    </w:p>
    <w:p>
      <w:pPr>
        <w:pStyle w:val="FirstParagraph"/>
      </w:pPr>
      <w:r>
        <w:rPr>
          <w:rFonts w:hint="eastAsia"/>
        </w:rPr>
        <w:t xml:space="preserve">负责人：交付负责人、客户成功、内容负责人、财务。</w:t>
      </w:r>
    </w:p>
    <w:p>
      <w:pPr>
        <w:pStyle w:val="BodyText"/>
      </w:pPr>
      <w:r>
        <w:rPr>
          <w:rFonts w:hint="eastAsia"/>
        </w:rPr>
        <w:t xml:space="preserve">必须完成：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按实际经营周期复盘收入、全部成本、退款和利润。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获得客户书面授权后，才制作见证内容。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转介绍只针对直接推荐，佣金条件、金额、税务和支付时间书面确认。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把高频问题、流失原因和交付问题反向更新产品和话术。</w:t>
      </w:r>
    </w:p>
    <w:p>
      <w:pPr>
        <w:pStyle w:val="FirstParagraph"/>
      </w:pPr>
      <w:r>
        <w:rPr>
          <w:rFonts w:hint="eastAsia"/>
        </w:rPr>
        <w:t xml:space="preserve">放行标准：案例可验真、佣金可对账、问题有整改负责人和期限。</w:t>
      </w:r>
    </w:p>
    <w:bookmarkEnd w:id="27"/>
    <w:bookmarkStart w:id="28" w:name="每日经营最小看板"/>
    <w:p>
      <w:pPr>
        <w:pStyle w:val="Heading2"/>
      </w:pPr>
      <w:r>
        <w:rPr>
          <w:rFonts w:hint="eastAsia"/>
        </w:rPr>
        <w:t xml:space="preserve">每日经营最小看板</w:t>
      </w:r>
    </w:p>
    <w:p>
      <w:pPr>
        <w:pStyle w:val="FirstParagraph"/>
      </w:pPr>
      <w:r>
        <w:rPr>
          <w:rFonts w:hint="eastAsia"/>
        </w:rPr>
        <w:t xml:space="preserve">至少同时记录：投流、进房、停留、咨询、前端订单、退款、私信回复、电话接通、加微、入群、私域直播到场、训练营报名、线下到场、后端签约、回款、交付进度、客诉和净现金流。</w:t>
      </w:r>
    </w:p>
    <w:p>
      <w:pPr>
        <w:pStyle w:val="BodyText"/>
      </w:pPr>
      <w:r>
        <w:rPr>
          <w:rFonts w:hint="eastAsia"/>
        </w:rPr>
        <w:t xml:space="preserve">不能只看直播成交额。每一层都应计算转化率、单客成本、退款率和实际毛利。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2026-07-13T14:39:47Z</dcterms:created>
  <dcterms:modified xsi:type="dcterms:W3CDTF">2026-07-13T14:39:47Z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